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AFBC2" w14:textId="77777777" w:rsidR="00695AD6" w:rsidRPr="00695AD6" w:rsidRDefault="00695AD6" w:rsidP="008A2A10">
      <w:pPr>
        <w:tabs>
          <w:tab w:val="left" w:pos="567"/>
        </w:tabs>
        <w:spacing w:after="0" w:line="240" w:lineRule="auto"/>
        <w:rPr>
          <w:rFonts w:ascii="Bookman Old Style" w:hAnsi="Bookman Old Style" w:cs="Times New Roman"/>
          <w:sz w:val="28"/>
          <w:szCs w:val="28"/>
          <w:lang w:val="el-GR"/>
        </w:rPr>
      </w:pPr>
      <w:r w:rsidRPr="00695AD6">
        <w:rPr>
          <w:rFonts w:ascii="Bookman Old Style" w:hAnsi="Bookman Old Style" w:cs="Times New Roman"/>
          <w:sz w:val="28"/>
          <w:szCs w:val="28"/>
          <w:lang w:val="el-GR"/>
        </w:rPr>
        <w:t>ΑΝΩΤΑΤΟ ΔΙΚΑΣΤΗΡΙΟ ΚΥΠΡΟΥ</w:t>
      </w:r>
    </w:p>
    <w:p w14:paraId="78FD6B10" w14:textId="52A21B92" w:rsidR="00695AD6" w:rsidRPr="00695AD6" w:rsidRDefault="00695AD6" w:rsidP="008A2A10">
      <w:pPr>
        <w:spacing w:after="0" w:line="240" w:lineRule="auto"/>
        <w:rPr>
          <w:rFonts w:ascii="Bookman Old Style" w:hAnsi="Bookman Old Style" w:cs="Times New Roman"/>
          <w:sz w:val="28"/>
          <w:szCs w:val="28"/>
          <w:lang w:val="el-GR"/>
        </w:rPr>
      </w:pPr>
      <w:r w:rsidRPr="00695AD6">
        <w:rPr>
          <w:rFonts w:ascii="Bookman Old Style" w:hAnsi="Bookman Old Style" w:cs="Times New Roman"/>
          <w:sz w:val="28"/>
          <w:szCs w:val="28"/>
          <w:lang w:val="el-GR"/>
        </w:rPr>
        <w:t>ΔΕΥΤΕΡΟΒΑΘΜΙΑ ΔΙΚΑΙΟΔΟΣΙΑ</w:t>
      </w:r>
      <w:r w:rsidRPr="00695AD6">
        <w:rPr>
          <w:rFonts w:ascii="Bookman Old Style" w:hAnsi="Bookman Old Style" w:cs="Times New Roman"/>
          <w:sz w:val="28"/>
          <w:szCs w:val="28"/>
          <w:lang w:val="el-GR"/>
        </w:rPr>
        <w:tab/>
      </w:r>
      <w:r w:rsidRPr="00695AD6">
        <w:rPr>
          <w:rFonts w:ascii="Bookman Old Style" w:hAnsi="Bookman Old Style" w:cs="Times New Roman"/>
          <w:sz w:val="28"/>
          <w:szCs w:val="28"/>
          <w:lang w:val="el-GR"/>
        </w:rPr>
        <w:tab/>
      </w:r>
      <w:r w:rsidRPr="00695AD6">
        <w:rPr>
          <w:rFonts w:ascii="Bookman Old Style" w:hAnsi="Bookman Old Style" w:cs="Times New Roman"/>
          <w:sz w:val="28"/>
          <w:szCs w:val="28"/>
          <w:lang w:val="el-GR"/>
        </w:rPr>
        <w:tab/>
      </w:r>
      <w:r w:rsidRPr="00695AD6">
        <w:rPr>
          <w:rFonts w:ascii="Bookman Old Style" w:hAnsi="Bookman Old Style" w:cs="Times New Roman"/>
          <w:sz w:val="28"/>
          <w:szCs w:val="28"/>
          <w:lang w:val="el-GR"/>
        </w:rPr>
        <w:tab/>
      </w:r>
    </w:p>
    <w:p w14:paraId="2D013655" w14:textId="5523BDA4" w:rsidR="00695AD6" w:rsidRPr="00695AD6" w:rsidRDefault="00695AD6" w:rsidP="00695AD6">
      <w:pPr>
        <w:spacing w:line="276" w:lineRule="auto"/>
        <w:jc w:val="right"/>
        <w:rPr>
          <w:rFonts w:ascii="Bookman Old Style" w:hAnsi="Bookman Old Style" w:cs="Times New Roman"/>
          <w:i/>
          <w:sz w:val="28"/>
          <w:szCs w:val="28"/>
          <w:lang w:val="el-GR"/>
        </w:rPr>
      </w:pPr>
      <w:r w:rsidRPr="00695AD6">
        <w:rPr>
          <w:rFonts w:ascii="Bookman Old Style" w:hAnsi="Bookman Old Style" w:cs="Times New Roman"/>
          <w:sz w:val="28"/>
          <w:szCs w:val="28"/>
          <w:lang w:val="el-GR"/>
        </w:rPr>
        <w:t>(</w:t>
      </w:r>
      <w:r w:rsidRPr="00695AD6">
        <w:rPr>
          <w:rFonts w:ascii="Bookman Old Style" w:hAnsi="Bookman Old Style" w:cs="Times New Roman"/>
          <w:i/>
          <w:sz w:val="28"/>
          <w:szCs w:val="28"/>
          <w:lang w:val="el-GR"/>
        </w:rPr>
        <w:t xml:space="preserve">Πολιτική Έφεση Αρ. </w:t>
      </w:r>
      <w:r w:rsidRPr="004A51D9">
        <w:rPr>
          <w:rFonts w:ascii="Bookman Old Style" w:hAnsi="Bookman Old Style" w:cs="Times New Roman"/>
          <w:i/>
          <w:sz w:val="28"/>
          <w:szCs w:val="28"/>
          <w:lang w:val="el-GR"/>
        </w:rPr>
        <w:t>52</w:t>
      </w:r>
      <w:r w:rsidRPr="00695AD6">
        <w:rPr>
          <w:rFonts w:ascii="Bookman Old Style" w:hAnsi="Bookman Old Style" w:cs="Times New Roman"/>
          <w:i/>
          <w:sz w:val="28"/>
          <w:szCs w:val="28"/>
          <w:lang w:val="el-GR"/>
        </w:rPr>
        <w:t>/201</w:t>
      </w:r>
      <w:r w:rsidRPr="004A51D9">
        <w:rPr>
          <w:rFonts w:ascii="Bookman Old Style" w:hAnsi="Bookman Old Style" w:cs="Times New Roman"/>
          <w:i/>
          <w:sz w:val="28"/>
          <w:szCs w:val="28"/>
          <w:lang w:val="el-GR"/>
        </w:rPr>
        <w:t>5</w:t>
      </w:r>
      <w:r w:rsidRPr="00695AD6">
        <w:rPr>
          <w:rFonts w:ascii="Bookman Old Style" w:hAnsi="Bookman Old Style" w:cs="Times New Roman"/>
          <w:iCs/>
          <w:sz w:val="28"/>
          <w:szCs w:val="28"/>
          <w:lang w:val="el-GR"/>
        </w:rPr>
        <w:t>)</w:t>
      </w:r>
    </w:p>
    <w:p w14:paraId="47E5B13A" w14:textId="77777777" w:rsidR="00695AD6" w:rsidRDefault="00695AD6" w:rsidP="008A2A10">
      <w:pPr>
        <w:spacing w:after="0"/>
        <w:jc w:val="center"/>
        <w:rPr>
          <w:rFonts w:ascii="Bookman Old Style" w:hAnsi="Bookman Old Style" w:cs="Times New Roman"/>
          <w:sz w:val="28"/>
          <w:szCs w:val="28"/>
          <w:lang w:val="el-GR"/>
        </w:rPr>
      </w:pPr>
    </w:p>
    <w:p w14:paraId="2F43B6D4" w14:textId="312A7D16" w:rsidR="00695AD6" w:rsidRPr="00695AD6" w:rsidRDefault="00280C8B" w:rsidP="008A2A10">
      <w:pPr>
        <w:spacing w:after="0"/>
        <w:jc w:val="center"/>
        <w:rPr>
          <w:rFonts w:ascii="Bookman Old Style" w:hAnsi="Bookman Old Style" w:cs="Times New Roman"/>
          <w:sz w:val="28"/>
          <w:szCs w:val="28"/>
          <w:lang w:val="el-GR"/>
        </w:rPr>
      </w:pPr>
      <w:r>
        <w:rPr>
          <w:rFonts w:ascii="Bookman Old Style" w:hAnsi="Bookman Old Style" w:cs="Times New Roman"/>
          <w:sz w:val="28"/>
          <w:szCs w:val="28"/>
          <w:lang w:val="el-GR"/>
        </w:rPr>
        <w:t>2</w:t>
      </w:r>
      <w:r w:rsidR="00171999" w:rsidRPr="00930A1E">
        <w:rPr>
          <w:rFonts w:ascii="Bookman Old Style" w:hAnsi="Bookman Old Style" w:cs="Times New Roman"/>
          <w:sz w:val="28"/>
          <w:szCs w:val="28"/>
          <w:lang w:val="el-GR"/>
        </w:rPr>
        <w:t>2</w:t>
      </w:r>
      <w:r>
        <w:rPr>
          <w:rFonts w:ascii="Bookman Old Style" w:hAnsi="Bookman Old Style" w:cs="Times New Roman"/>
          <w:sz w:val="28"/>
          <w:szCs w:val="28"/>
          <w:lang w:val="el-GR"/>
        </w:rPr>
        <w:t xml:space="preserve"> </w:t>
      </w:r>
      <w:r w:rsidR="00695AD6">
        <w:rPr>
          <w:rFonts w:ascii="Bookman Old Style" w:hAnsi="Bookman Old Style" w:cs="Times New Roman"/>
          <w:sz w:val="28"/>
          <w:szCs w:val="28"/>
          <w:lang w:val="el-GR"/>
        </w:rPr>
        <w:t>Σεπτεμβρίου</w:t>
      </w:r>
      <w:r w:rsidR="00695AD6" w:rsidRPr="00695AD6">
        <w:rPr>
          <w:rFonts w:ascii="Bookman Old Style" w:hAnsi="Bookman Old Style" w:cs="Times New Roman"/>
          <w:sz w:val="28"/>
          <w:szCs w:val="28"/>
          <w:lang w:val="el-GR"/>
        </w:rPr>
        <w:t>, 2023</w:t>
      </w:r>
    </w:p>
    <w:p w14:paraId="7B456769" w14:textId="77777777" w:rsidR="00695AD6" w:rsidRPr="00695AD6" w:rsidRDefault="00695AD6" w:rsidP="008A2A10">
      <w:pPr>
        <w:spacing w:after="0"/>
        <w:jc w:val="center"/>
        <w:rPr>
          <w:rFonts w:ascii="Bookman Old Style" w:hAnsi="Bookman Old Style" w:cs="Times New Roman"/>
          <w:sz w:val="28"/>
          <w:szCs w:val="28"/>
          <w:lang w:val="el-GR"/>
        </w:rPr>
      </w:pPr>
    </w:p>
    <w:p w14:paraId="309D2A45" w14:textId="77777777" w:rsidR="00695AD6" w:rsidRPr="00695AD6" w:rsidRDefault="00695AD6" w:rsidP="00695AD6">
      <w:pPr>
        <w:jc w:val="center"/>
        <w:rPr>
          <w:rFonts w:ascii="Bookman Old Style" w:hAnsi="Bookman Old Style" w:cs="Times New Roman"/>
          <w:sz w:val="28"/>
          <w:szCs w:val="28"/>
          <w:lang w:val="el-GR"/>
        </w:rPr>
      </w:pPr>
      <w:r w:rsidRPr="00695AD6">
        <w:rPr>
          <w:rFonts w:ascii="Bookman Old Style" w:hAnsi="Bookman Old Style" w:cs="Times New Roman"/>
          <w:sz w:val="28"/>
          <w:szCs w:val="28"/>
          <w:lang w:val="el-GR"/>
        </w:rPr>
        <w:t>[ΜΑΛΑΧΤΟΣ, ΙΩΑΝΝΙΔΗΣ, ΕΦΡΑΙΜ, Δ/στές]</w:t>
      </w:r>
    </w:p>
    <w:p w14:paraId="4717BDEC" w14:textId="77777777" w:rsidR="008A2A10" w:rsidRDefault="008A2A10" w:rsidP="008A2A10">
      <w:pPr>
        <w:tabs>
          <w:tab w:val="left" w:pos="5670"/>
        </w:tabs>
        <w:spacing w:after="0" w:line="240" w:lineRule="auto"/>
        <w:rPr>
          <w:rFonts w:ascii="Bookman Old Style" w:hAnsi="Bookman Old Style" w:cs="Times New Roman"/>
          <w:iCs/>
          <w:sz w:val="28"/>
          <w:szCs w:val="28"/>
          <w:lang w:val="el-GR"/>
        </w:rPr>
      </w:pPr>
    </w:p>
    <w:p w14:paraId="5B64F458" w14:textId="77777777" w:rsidR="003803CB" w:rsidRDefault="003803CB" w:rsidP="008A2A10">
      <w:pPr>
        <w:tabs>
          <w:tab w:val="left" w:pos="5670"/>
        </w:tabs>
        <w:spacing w:after="0" w:line="240" w:lineRule="auto"/>
        <w:rPr>
          <w:rFonts w:ascii="Bookman Old Style" w:hAnsi="Bookman Old Style" w:cs="Times New Roman"/>
          <w:iCs/>
          <w:sz w:val="28"/>
          <w:szCs w:val="28"/>
          <w:lang w:val="el-GR"/>
        </w:rPr>
      </w:pPr>
    </w:p>
    <w:p w14:paraId="0E269BAD" w14:textId="77777777" w:rsidR="008A2A10" w:rsidRDefault="008A2A10" w:rsidP="008A2A10">
      <w:pPr>
        <w:tabs>
          <w:tab w:val="left" w:pos="3544"/>
        </w:tabs>
        <w:jc w:val="center"/>
        <w:rPr>
          <w:rFonts w:ascii="Bookman Old Style" w:hAnsi="Bookman Old Style" w:cs="Times New Roman"/>
          <w:sz w:val="28"/>
          <w:szCs w:val="28"/>
        </w:rPr>
      </w:pPr>
      <w:r>
        <w:rPr>
          <w:rFonts w:ascii="Bookman Old Style" w:hAnsi="Bookman Old Style" w:cs="Times New Roman"/>
          <w:sz w:val="28"/>
          <w:szCs w:val="28"/>
        </w:rPr>
        <w:t>LOVE ISLAND TRAVEL &amp; TOURS LIMITED</w:t>
      </w:r>
    </w:p>
    <w:p w14:paraId="7A2EF5FD" w14:textId="77777777" w:rsidR="008A2A10" w:rsidRPr="004A51D9" w:rsidRDefault="008A2A10" w:rsidP="008A2A10">
      <w:pPr>
        <w:tabs>
          <w:tab w:val="left" w:pos="1985"/>
          <w:tab w:val="left" w:pos="5670"/>
        </w:tabs>
        <w:ind w:left="2694" w:hanging="426"/>
        <w:rPr>
          <w:rFonts w:ascii="Bookman Old Style" w:hAnsi="Bookman Old Style" w:cs="Times New Roman"/>
          <w:i/>
          <w:sz w:val="28"/>
          <w:szCs w:val="28"/>
        </w:rPr>
      </w:pPr>
      <w:r w:rsidRPr="00695AD6">
        <w:rPr>
          <w:rFonts w:ascii="Bookman Old Style" w:hAnsi="Bookman Old Style" w:cs="Times New Roman"/>
          <w:i/>
          <w:sz w:val="28"/>
          <w:szCs w:val="28"/>
        </w:rPr>
        <w:tab/>
      </w:r>
      <w:r w:rsidRPr="00695AD6">
        <w:rPr>
          <w:rFonts w:ascii="Bookman Old Style" w:hAnsi="Bookman Old Style" w:cs="Times New Roman"/>
          <w:i/>
          <w:sz w:val="28"/>
          <w:szCs w:val="28"/>
        </w:rPr>
        <w:tab/>
      </w:r>
      <w:r w:rsidRPr="00695AD6">
        <w:rPr>
          <w:rFonts w:ascii="Bookman Old Style" w:hAnsi="Bookman Old Style" w:cs="Times New Roman"/>
          <w:i/>
          <w:sz w:val="28"/>
          <w:szCs w:val="28"/>
        </w:rPr>
        <w:tab/>
      </w:r>
      <w:r w:rsidRPr="00695AD6">
        <w:rPr>
          <w:rFonts w:ascii="Bookman Old Style" w:hAnsi="Bookman Old Style" w:cs="Times New Roman"/>
          <w:i/>
          <w:sz w:val="28"/>
          <w:szCs w:val="28"/>
          <w:lang w:val="el-GR"/>
        </w:rPr>
        <w:t>Εφεσεί</w:t>
      </w:r>
      <w:r>
        <w:rPr>
          <w:rFonts w:ascii="Bookman Old Style" w:hAnsi="Bookman Old Style" w:cs="Times New Roman"/>
          <w:i/>
          <w:sz w:val="28"/>
          <w:szCs w:val="28"/>
        </w:rPr>
        <w:t>o</w:t>
      </w:r>
      <w:r>
        <w:rPr>
          <w:rFonts w:ascii="Bookman Old Style" w:hAnsi="Bookman Old Style" w:cs="Times New Roman"/>
          <w:i/>
          <w:sz w:val="28"/>
          <w:szCs w:val="28"/>
          <w:lang w:val="el-GR"/>
        </w:rPr>
        <w:t>ντες</w:t>
      </w:r>
      <w:r w:rsidRPr="004A51D9">
        <w:rPr>
          <w:rFonts w:ascii="Bookman Old Style" w:hAnsi="Bookman Old Style" w:cs="Times New Roman"/>
          <w:i/>
          <w:sz w:val="28"/>
          <w:szCs w:val="28"/>
        </w:rPr>
        <w:t>,</w:t>
      </w:r>
    </w:p>
    <w:p w14:paraId="769FF4D0" w14:textId="77777777" w:rsidR="008A2A10" w:rsidRDefault="008A2A10" w:rsidP="008A2A10">
      <w:pPr>
        <w:jc w:val="center"/>
        <w:rPr>
          <w:rFonts w:ascii="Bookman Old Style" w:hAnsi="Bookman Old Style" w:cs="Times New Roman"/>
          <w:iCs/>
          <w:sz w:val="28"/>
          <w:szCs w:val="28"/>
          <w:lang w:val="el-GR"/>
        </w:rPr>
      </w:pPr>
      <w:r w:rsidRPr="00695AD6">
        <w:rPr>
          <w:rFonts w:ascii="Bookman Old Style" w:hAnsi="Bookman Old Style" w:cs="Times New Roman"/>
          <w:iCs/>
          <w:sz w:val="28"/>
          <w:szCs w:val="28"/>
          <w:lang w:val="el-GR"/>
        </w:rPr>
        <w:t>ν.</w:t>
      </w:r>
    </w:p>
    <w:p w14:paraId="717FC892" w14:textId="77777777" w:rsidR="008A2A10" w:rsidRPr="008A2A10" w:rsidRDefault="008A2A10" w:rsidP="008A2A10">
      <w:pPr>
        <w:spacing w:after="0" w:line="120" w:lineRule="auto"/>
        <w:jc w:val="center"/>
        <w:rPr>
          <w:rFonts w:ascii="Bookman Old Style" w:hAnsi="Bookman Old Style" w:cs="Times New Roman"/>
          <w:iCs/>
          <w:sz w:val="28"/>
          <w:szCs w:val="28"/>
          <w:lang w:val="el-GR"/>
        </w:rPr>
      </w:pPr>
    </w:p>
    <w:p w14:paraId="4E3E705D" w14:textId="77777777" w:rsidR="008A2A10" w:rsidRDefault="008A2A10" w:rsidP="008A2A10">
      <w:pPr>
        <w:spacing w:after="0" w:line="276" w:lineRule="auto"/>
        <w:ind w:left="993"/>
        <w:jc w:val="both"/>
        <w:rPr>
          <w:rFonts w:ascii="Bookman Old Style" w:hAnsi="Bookman Old Style" w:cs="Times New Roman"/>
          <w:iCs/>
          <w:sz w:val="28"/>
          <w:szCs w:val="28"/>
          <w:lang w:val="el-GR"/>
        </w:rPr>
      </w:pPr>
      <w:r w:rsidRPr="008A2A10">
        <w:rPr>
          <w:rFonts w:ascii="Bookman Old Style" w:hAnsi="Bookman Old Style" w:cs="Times New Roman"/>
          <w:iCs/>
          <w:sz w:val="28"/>
          <w:szCs w:val="28"/>
          <w:lang w:val="el-GR"/>
        </w:rPr>
        <w:t xml:space="preserve">1. </w:t>
      </w:r>
      <w:r>
        <w:rPr>
          <w:rFonts w:ascii="Bookman Old Style" w:hAnsi="Bookman Old Style" w:cs="Times New Roman"/>
          <w:iCs/>
          <w:sz w:val="28"/>
          <w:szCs w:val="28"/>
        </w:rPr>
        <w:t>AN</w:t>
      </w:r>
      <w:r>
        <w:rPr>
          <w:rFonts w:ascii="Bookman Old Style" w:hAnsi="Bookman Old Style" w:cs="Times New Roman"/>
          <w:iCs/>
          <w:sz w:val="28"/>
          <w:szCs w:val="28"/>
          <w:lang w:val="el-GR"/>
        </w:rPr>
        <w:t>ΝΑΣ ΚΩΝΣΤΑΝΤΙΝΙΔΟΥ ΚΑΙ</w:t>
      </w:r>
    </w:p>
    <w:p w14:paraId="0DFC44CF" w14:textId="77777777" w:rsidR="008A2A10" w:rsidRDefault="008A2A10" w:rsidP="008A2A10">
      <w:pPr>
        <w:spacing w:after="0" w:line="276" w:lineRule="auto"/>
        <w:ind w:left="993"/>
        <w:jc w:val="both"/>
        <w:rPr>
          <w:rFonts w:ascii="Bookman Old Style" w:hAnsi="Bookman Old Style" w:cs="Times New Roman"/>
          <w:iCs/>
          <w:sz w:val="28"/>
          <w:szCs w:val="28"/>
          <w:lang w:val="el-GR"/>
        </w:rPr>
      </w:pPr>
      <w:r>
        <w:rPr>
          <w:rFonts w:ascii="Bookman Old Style" w:hAnsi="Bookman Old Style" w:cs="Times New Roman"/>
          <w:iCs/>
          <w:sz w:val="28"/>
          <w:szCs w:val="28"/>
          <w:lang w:val="el-GR"/>
        </w:rPr>
        <w:t>2. ΚΑΤΕΡΙΝΑΣ ΧΑΡΑΛΑΜΠΙΔΟΥ, ΩΣ ΔΙΑΧΕΙΡΙΣΤΕΣ</w:t>
      </w:r>
    </w:p>
    <w:p w14:paraId="43374EBB" w14:textId="77777777" w:rsidR="008A2A10" w:rsidRDefault="008A2A10" w:rsidP="008A2A10">
      <w:pPr>
        <w:spacing w:after="0" w:line="276" w:lineRule="auto"/>
        <w:ind w:left="993"/>
        <w:jc w:val="both"/>
        <w:rPr>
          <w:rFonts w:ascii="Bookman Old Style" w:hAnsi="Bookman Old Style" w:cs="Times New Roman"/>
          <w:iCs/>
          <w:sz w:val="28"/>
          <w:szCs w:val="28"/>
          <w:lang w:val="el-GR"/>
        </w:rPr>
      </w:pPr>
      <w:r>
        <w:rPr>
          <w:rFonts w:ascii="Bookman Old Style" w:hAnsi="Bookman Old Style" w:cs="Times New Roman"/>
          <w:iCs/>
          <w:sz w:val="28"/>
          <w:szCs w:val="28"/>
          <w:lang w:val="el-GR"/>
        </w:rPr>
        <w:t xml:space="preserve">    ΤΗΣ</w:t>
      </w:r>
      <w:r w:rsidRPr="008A2A10">
        <w:rPr>
          <w:rFonts w:ascii="Bookman Old Style" w:hAnsi="Bookman Old Style" w:cs="Times New Roman"/>
          <w:iCs/>
          <w:sz w:val="28"/>
          <w:szCs w:val="28"/>
          <w:lang w:val="el-GR"/>
        </w:rPr>
        <w:t xml:space="preserve"> </w:t>
      </w:r>
      <w:r>
        <w:rPr>
          <w:rFonts w:ascii="Bookman Old Style" w:hAnsi="Bookman Old Style" w:cs="Times New Roman"/>
          <w:iCs/>
          <w:sz w:val="28"/>
          <w:szCs w:val="28"/>
          <w:lang w:val="el-GR"/>
        </w:rPr>
        <w:t>ΠΕΡΙΟΥΣΙΑΣ ΤΟΥ ΑΠΟΒΙΩΣΑΝΤΟΣ</w:t>
      </w:r>
    </w:p>
    <w:p w14:paraId="20378516" w14:textId="77777777" w:rsidR="008A2A10" w:rsidRDefault="008A2A10" w:rsidP="008A2A10">
      <w:pPr>
        <w:spacing w:after="0" w:line="276" w:lineRule="auto"/>
        <w:ind w:left="993"/>
        <w:jc w:val="both"/>
        <w:rPr>
          <w:rFonts w:ascii="Bookman Old Style" w:hAnsi="Bookman Old Style" w:cs="Times New Roman"/>
          <w:iCs/>
          <w:sz w:val="28"/>
          <w:szCs w:val="28"/>
          <w:lang w:val="el-GR"/>
        </w:rPr>
      </w:pPr>
      <w:r>
        <w:rPr>
          <w:rFonts w:ascii="Bookman Old Style" w:hAnsi="Bookman Old Style" w:cs="Times New Roman"/>
          <w:iCs/>
          <w:sz w:val="28"/>
          <w:szCs w:val="28"/>
          <w:lang w:val="el-GR"/>
        </w:rPr>
        <w:t xml:space="preserve">    ΚΩΣΤΑ ΚΩΝΣΤΑΝΤΙΝΙΔΗ</w:t>
      </w:r>
    </w:p>
    <w:p w14:paraId="6606C062" w14:textId="49DBB664" w:rsidR="008A2A10" w:rsidRPr="003803CB" w:rsidRDefault="008A2A10" w:rsidP="008A2A10">
      <w:pPr>
        <w:spacing w:after="0" w:line="276" w:lineRule="auto"/>
        <w:ind w:left="993"/>
        <w:jc w:val="both"/>
        <w:rPr>
          <w:rFonts w:ascii="Bookman Old Style" w:hAnsi="Bookman Old Style" w:cs="Times New Roman"/>
          <w:iCs/>
          <w:sz w:val="28"/>
          <w:szCs w:val="28"/>
          <w:lang w:val="el-GR"/>
        </w:rPr>
      </w:pPr>
    </w:p>
    <w:p w14:paraId="62309DD5" w14:textId="77777777" w:rsidR="008A2A10" w:rsidRPr="003803CB" w:rsidRDefault="008A2A10" w:rsidP="008A2A10">
      <w:pPr>
        <w:tabs>
          <w:tab w:val="left" w:pos="5670"/>
        </w:tabs>
        <w:rPr>
          <w:rFonts w:ascii="Bookman Old Style" w:hAnsi="Bookman Old Style" w:cs="Times New Roman"/>
          <w:i/>
          <w:sz w:val="28"/>
          <w:szCs w:val="28"/>
          <w:lang w:val="el-GR"/>
        </w:rPr>
      </w:pPr>
      <w:r w:rsidRPr="003803CB">
        <w:rPr>
          <w:rFonts w:ascii="Bookman Old Style" w:hAnsi="Bookman Old Style" w:cs="Times New Roman"/>
          <w:i/>
          <w:sz w:val="28"/>
          <w:szCs w:val="28"/>
          <w:lang w:val="el-GR"/>
        </w:rPr>
        <w:tab/>
      </w:r>
      <w:r w:rsidRPr="00695AD6">
        <w:rPr>
          <w:rFonts w:ascii="Bookman Old Style" w:hAnsi="Bookman Old Style" w:cs="Times New Roman"/>
          <w:i/>
          <w:sz w:val="28"/>
          <w:szCs w:val="28"/>
          <w:lang w:val="el-GR"/>
        </w:rPr>
        <w:t>Εφεσίβλη</w:t>
      </w:r>
      <w:r>
        <w:rPr>
          <w:rFonts w:ascii="Bookman Old Style" w:hAnsi="Bookman Old Style" w:cs="Times New Roman"/>
          <w:i/>
          <w:sz w:val="28"/>
          <w:szCs w:val="28"/>
          <w:lang w:val="el-GR"/>
        </w:rPr>
        <w:t>των</w:t>
      </w:r>
      <w:r w:rsidRPr="003803CB">
        <w:rPr>
          <w:rFonts w:ascii="Bookman Old Style" w:hAnsi="Bookman Old Style" w:cs="Times New Roman"/>
          <w:i/>
          <w:sz w:val="28"/>
          <w:szCs w:val="28"/>
          <w:lang w:val="el-GR"/>
        </w:rPr>
        <w:t>.</w:t>
      </w:r>
    </w:p>
    <w:p w14:paraId="5512EA78" w14:textId="61C7E4C2" w:rsidR="0096038A" w:rsidRDefault="0096038A" w:rsidP="0096038A">
      <w:pPr>
        <w:pStyle w:val="1"/>
        <w:spacing w:line="240" w:lineRule="auto"/>
        <w:ind w:left="3969" w:hanging="3402"/>
        <w:rPr>
          <w:rFonts w:ascii="Bookman Old Style" w:hAnsi="Bookman Old Style"/>
          <w:i/>
          <w:iCs/>
          <w:sz w:val="26"/>
          <w:szCs w:val="26"/>
        </w:rPr>
      </w:pPr>
      <w:r>
        <w:rPr>
          <w:rFonts w:ascii="Bookman Old Style" w:hAnsi="Bookman Old Style"/>
          <w:i/>
          <w:iCs/>
          <w:sz w:val="26"/>
          <w:szCs w:val="26"/>
        </w:rPr>
        <w:t xml:space="preserve">Κ. Σαβεριάδης μαζί με Ν. Παπακωνσταντίνου (κα), για </w:t>
      </w:r>
    </w:p>
    <w:p w14:paraId="7564F246" w14:textId="04F6E1B7" w:rsidR="0096038A" w:rsidRPr="0096038A" w:rsidRDefault="0096038A" w:rsidP="0096038A">
      <w:pPr>
        <w:pStyle w:val="1"/>
        <w:spacing w:line="240" w:lineRule="auto"/>
        <w:ind w:left="3969" w:hanging="3402"/>
        <w:rPr>
          <w:rFonts w:ascii="Bookman Old Style" w:hAnsi="Bookman Old Style"/>
          <w:sz w:val="26"/>
          <w:szCs w:val="26"/>
        </w:rPr>
      </w:pPr>
      <w:r w:rsidRPr="0096038A">
        <w:rPr>
          <w:rFonts w:ascii="Bookman Old Style" w:hAnsi="Bookman Old Style"/>
          <w:i/>
          <w:iCs/>
          <w:sz w:val="26"/>
          <w:szCs w:val="26"/>
        </w:rPr>
        <w:t>Κ.Κ. Σαβεριάδης &amp; Σία ΔΕΠΕ</w:t>
      </w:r>
      <w:r>
        <w:rPr>
          <w:rFonts w:ascii="Bookman Old Style" w:hAnsi="Bookman Old Style"/>
          <w:sz w:val="26"/>
          <w:szCs w:val="26"/>
        </w:rPr>
        <w:t>, για τους Εφεσείοντες.</w:t>
      </w:r>
    </w:p>
    <w:p w14:paraId="3CAF611D" w14:textId="77777777" w:rsidR="0096038A" w:rsidRDefault="0096038A" w:rsidP="0096038A">
      <w:pPr>
        <w:pStyle w:val="1"/>
        <w:spacing w:line="240" w:lineRule="auto"/>
        <w:ind w:left="3969"/>
        <w:rPr>
          <w:rFonts w:ascii="Bookman Old Style" w:hAnsi="Bookman Old Style"/>
          <w:sz w:val="26"/>
          <w:szCs w:val="26"/>
        </w:rPr>
      </w:pPr>
    </w:p>
    <w:p w14:paraId="7CFF8894" w14:textId="7CB8D3EF" w:rsidR="0096038A" w:rsidRDefault="0096038A" w:rsidP="00897496">
      <w:pPr>
        <w:pStyle w:val="1"/>
        <w:spacing w:line="240" w:lineRule="auto"/>
        <w:ind w:left="3969" w:hanging="3402"/>
        <w:rPr>
          <w:rFonts w:ascii="Bookman Old Style" w:hAnsi="Bookman Old Style"/>
          <w:i/>
          <w:iCs/>
          <w:sz w:val="26"/>
          <w:szCs w:val="26"/>
        </w:rPr>
      </w:pPr>
      <w:r>
        <w:rPr>
          <w:rFonts w:ascii="Bookman Old Style" w:hAnsi="Bookman Old Style"/>
          <w:i/>
          <w:iCs/>
          <w:sz w:val="26"/>
          <w:szCs w:val="26"/>
        </w:rPr>
        <w:t xml:space="preserve">Χρ. </w:t>
      </w:r>
      <w:r>
        <w:rPr>
          <w:rFonts w:ascii="Bookman Old Style" w:hAnsi="Bookman Old Style"/>
          <w:sz w:val="26"/>
          <w:szCs w:val="26"/>
        </w:rPr>
        <w:t xml:space="preserve">Αντωνίου </w:t>
      </w:r>
      <w:r w:rsidR="00897496">
        <w:rPr>
          <w:rFonts w:ascii="Bookman Old Style" w:hAnsi="Bookman Old Style"/>
          <w:i/>
          <w:iCs/>
          <w:sz w:val="26"/>
          <w:szCs w:val="26"/>
        </w:rPr>
        <w:t xml:space="preserve">(κα) μαζί με </w:t>
      </w:r>
      <w:r w:rsidRPr="00897496">
        <w:rPr>
          <w:rFonts w:ascii="Bookman Old Style" w:hAnsi="Bookman Old Style"/>
          <w:i/>
          <w:iCs/>
          <w:sz w:val="26"/>
          <w:szCs w:val="26"/>
        </w:rPr>
        <w:t>Χρ</w:t>
      </w:r>
      <w:r w:rsidR="00897496">
        <w:rPr>
          <w:rFonts w:ascii="Bookman Old Style" w:hAnsi="Bookman Old Style"/>
          <w:i/>
          <w:iCs/>
          <w:sz w:val="26"/>
          <w:szCs w:val="26"/>
        </w:rPr>
        <w:t xml:space="preserve">. </w:t>
      </w:r>
      <w:r w:rsidRPr="00897496">
        <w:rPr>
          <w:rFonts w:ascii="Bookman Old Style" w:hAnsi="Bookman Old Style"/>
          <w:i/>
          <w:iCs/>
          <w:sz w:val="26"/>
          <w:szCs w:val="26"/>
        </w:rPr>
        <w:t>Κεραυνού</w:t>
      </w:r>
      <w:r w:rsidR="00897496">
        <w:rPr>
          <w:rFonts w:ascii="Bookman Old Style" w:hAnsi="Bookman Old Style"/>
          <w:i/>
          <w:iCs/>
          <w:sz w:val="26"/>
          <w:szCs w:val="26"/>
        </w:rPr>
        <w:t xml:space="preserve"> (κα),</w:t>
      </w:r>
      <w:r w:rsidRPr="00897496">
        <w:rPr>
          <w:rFonts w:ascii="Bookman Old Style" w:hAnsi="Bookman Old Style"/>
          <w:i/>
          <w:iCs/>
          <w:sz w:val="26"/>
          <w:szCs w:val="26"/>
        </w:rPr>
        <w:t xml:space="preserve"> για</w:t>
      </w:r>
    </w:p>
    <w:p w14:paraId="7227901F" w14:textId="5D18F13D" w:rsidR="0096038A" w:rsidRPr="00897496" w:rsidRDefault="00897496" w:rsidP="00897496">
      <w:pPr>
        <w:pStyle w:val="1"/>
        <w:spacing w:line="240" w:lineRule="auto"/>
        <w:ind w:left="3969" w:hanging="3402"/>
        <w:rPr>
          <w:rFonts w:ascii="Bookman Old Style" w:hAnsi="Bookman Old Style"/>
          <w:i/>
          <w:iCs/>
          <w:sz w:val="26"/>
          <w:szCs w:val="26"/>
        </w:rPr>
      </w:pPr>
      <w:r>
        <w:rPr>
          <w:rFonts w:ascii="Bookman Old Style" w:hAnsi="Bookman Old Style"/>
          <w:i/>
          <w:iCs/>
          <w:sz w:val="26"/>
          <w:szCs w:val="26"/>
        </w:rPr>
        <w:t>Γ</w:t>
      </w:r>
      <w:r w:rsidR="0096038A" w:rsidRPr="00897496">
        <w:rPr>
          <w:rFonts w:ascii="Bookman Old Style" w:hAnsi="Bookman Old Style"/>
          <w:i/>
          <w:iCs/>
          <w:sz w:val="26"/>
          <w:szCs w:val="26"/>
        </w:rPr>
        <w:t>ιώργος Χαραλαμπίδης &amp; Σια ΔΕΠΕ</w:t>
      </w:r>
      <w:r>
        <w:rPr>
          <w:rFonts w:ascii="Bookman Old Style" w:hAnsi="Bookman Old Style"/>
          <w:sz w:val="26"/>
          <w:szCs w:val="26"/>
        </w:rPr>
        <w:t xml:space="preserve">, </w:t>
      </w:r>
      <w:r w:rsidRPr="00981628">
        <w:rPr>
          <w:rFonts w:ascii="Bookman Old Style" w:hAnsi="Bookman Old Style"/>
          <w:sz w:val="26"/>
          <w:szCs w:val="26"/>
        </w:rPr>
        <w:t>για τ</w:t>
      </w:r>
      <w:r w:rsidR="00FF6329" w:rsidRPr="00981628">
        <w:rPr>
          <w:rFonts w:ascii="Bookman Old Style" w:hAnsi="Bookman Old Style"/>
          <w:sz w:val="26"/>
          <w:szCs w:val="26"/>
        </w:rPr>
        <w:t>ους</w:t>
      </w:r>
      <w:r w:rsidRPr="00981628">
        <w:rPr>
          <w:rFonts w:ascii="Bookman Old Style" w:hAnsi="Bookman Old Style"/>
          <w:sz w:val="26"/>
          <w:szCs w:val="26"/>
        </w:rPr>
        <w:t xml:space="preserve"> Εφεσίβλητ</w:t>
      </w:r>
      <w:r w:rsidR="00FF6329" w:rsidRPr="00981628">
        <w:rPr>
          <w:rFonts w:ascii="Bookman Old Style" w:hAnsi="Bookman Old Style"/>
          <w:sz w:val="26"/>
          <w:szCs w:val="26"/>
        </w:rPr>
        <w:t>ους 1 και 2</w:t>
      </w:r>
      <w:r w:rsidR="0096038A" w:rsidRPr="00981628">
        <w:rPr>
          <w:rFonts w:ascii="Bookman Old Style" w:hAnsi="Bookman Old Style"/>
          <w:sz w:val="26"/>
          <w:szCs w:val="26"/>
        </w:rPr>
        <w:t>.</w:t>
      </w:r>
    </w:p>
    <w:p w14:paraId="13D81A1E" w14:textId="77777777" w:rsidR="00695AD6" w:rsidRDefault="00695AD6" w:rsidP="00695AD6">
      <w:pPr>
        <w:spacing w:line="276" w:lineRule="auto"/>
        <w:ind w:left="567"/>
        <w:rPr>
          <w:rFonts w:ascii="Bookman Old Style" w:hAnsi="Bookman Old Style" w:cs="Times New Roman"/>
          <w:sz w:val="28"/>
          <w:szCs w:val="28"/>
          <w:lang w:val="el-GR"/>
        </w:rPr>
      </w:pPr>
    </w:p>
    <w:p w14:paraId="026B3E86" w14:textId="0F5891B0" w:rsidR="00897496" w:rsidRDefault="008A2A10" w:rsidP="008A2A10">
      <w:pPr>
        <w:spacing w:line="276" w:lineRule="auto"/>
        <w:ind w:left="567"/>
        <w:jc w:val="center"/>
        <w:rPr>
          <w:rFonts w:ascii="Bookman Old Style" w:hAnsi="Bookman Old Style" w:cs="Times New Roman"/>
          <w:sz w:val="28"/>
          <w:szCs w:val="28"/>
          <w:lang w:val="el-GR"/>
        </w:rPr>
      </w:pPr>
      <w:r>
        <w:rPr>
          <w:rFonts w:ascii="Bookman Old Style" w:hAnsi="Bookman Old Style" w:cs="Times New Roman"/>
          <w:sz w:val="28"/>
          <w:szCs w:val="28"/>
          <w:lang w:val="el-GR"/>
        </w:rPr>
        <w:t>..................</w:t>
      </w:r>
    </w:p>
    <w:p w14:paraId="27EE6968" w14:textId="77777777" w:rsidR="003803CB" w:rsidRPr="00695AD6" w:rsidRDefault="003803CB" w:rsidP="008A2A10">
      <w:pPr>
        <w:spacing w:line="276" w:lineRule="auto"/>
        <w:ind w:left="567"/>
        <w:jc w:val="center"/>
        <w:rPr>
          <w:rFonts w:ascii="Bookman Old Style" w:hAnsi="Bookman Old Style" w:cs="Times New Roman"/>
          <w:sz w:val="28"/>
          <w:szCs w:val="28"/>
          <w:lang w:val="el-GR"/>
        </w:rPr>
      </w:pPr>
    </w:p>
    <w:p w14:paraId="071740D9" w14:textId="1ADEB733" w:rsidR="00695AD6" w:rsidRPr="00695AD6" w:rsidRDefault="00695AD6" w:rsidP="00897496">
      <w:pPr>
        <w:tabs>
          <w:tab w:val="left" w:pos="567"/>
        </w:tabs>
        <w:spacing w:line="240" w:lineRule="auto"/>
        <w:jc w:val="center"/>
        <w:rPr>
          <w:rFonts w:ascii="Bookman Old Style" w:hAnsi="Bookman Old Style" w:cs="Times New Roman"/>
          <w:sz w:val="28"/>
          <w:szCs w:val="28"/>
          <w:lang w:val="el-GR"/>
        </w:rPr>
      </w:pPr>
      <w:r w:rsidRPr="00695AD6">
        <w:rPr>
          <w:rFonts w:ascii="Bookman Old Style" w:hAnsi="Bookman Old Style" w:cs="Times New Roman"/>
          <w:b/>
          <w:sz w:val="28"/>
          <w:szCs w:val="28"/>
          <w:lang w:val="el-GR"/>
        </w:rPr>
        <w:t>ΜΑΛΑΧΤΟΣ, Δ.:</w:t>
      </w:r>
      <w:r w:rsidRPr="00695AD6">
        <w:rPr>
          <w:rFonts w:ascii="Bookman Old Style" w:hAnsi="Bookman Old Style" w:cs="Times New Roman"/>
          <w:sz w:val="28"/>
          <w:szCs w:val="28"/>
          <w:lang w:val="el-GR"/>
        </w:rPr>
        <w:t xml:space="preserve"> Η απόφαση του Δικαστηρίου</w:t>
      </w:r>
      <w:r w:rsidR="003803CB" w:rsidRPr="003803CB">
        <w:rPr>
          <w:rFonts w:ascii="Bookman Old Style" w:hAnsi="Bookman Old Style" w:cs="Times New Roman"/>
          <w:sz w:val="28"/>
          <w:szCs w:val="28"/>
          <w:lang w:val="el-GR"/>
        </w:rPr>
        <w:t xml:space="preserve"> </w:t>
      </w:r>
      <w:r w:rsidR="003803CB">
        <w:rPr>
          <w:rFonts w:ascii="Bookman Old Style" w:hAnsi="Bookman Old Style" w:cs="Times New Roman"/>
          <w:sz w:val="28"/>
          <w:szCs w:val="28"/>
          <w:lang w:val="el-GR"/>
        </w:rPr>
        <w:t xml:space="preserve">είναι </w:t>
      </w:r>
      <w:r w:rsidR="003803CB" w:rsidRPr="00695AD6">
        <w:rPr>
          <w:rFonts w:ascii="Bookman Old Style" w:hAnsi="Bookman Old Style" w:cs="Times New Roman"/>
          <w:sz w:val="28"/>
          <w:szCs w:val="28"/>
          <w:lang w:val="el-GR"/>
        </w:rPr>
        <w:t>ομόφωνη</w:t>
      </w:r>
      <w:r w:rsidR="003803CB">
        <w:rPr>
          <w:rFonts w:ascii="Bookman Old Style" w:hAnsi="Bookman Old Style" w:cs="Times New Roman"/>
          <w:sz w:val="28"/>
          <w:szCs w:val="28"/>
          <w:lang w:val="el-GR"/>
        </w:rPr>
        <w:t xml:space="preserve"> και </w:t>
      </w:r>
    </w:p>
    <w:p w14:paraId="221F78AF" w14:textId="77777777" w:rsidR="00695AD6" w:rsidRPr="00695AD6" w:rsidRDefault="00695AD6" w:rsidP="00897496">
      <w:pPr>
        <w:tabs>
          <w:tab w:val="left" w:pos="567"/>
        </w:tabs>
        <w:spacing w:after="0" w:line="240" w:lineRule="auto"/>
        <w:jc w:val="center"/>
        <w:rPr>
          <w:rFonts w:ascii="Bookman Old Style" w:hAnsi="Bookman Old Style" w:cs="Times New Roman"/>
          <w:sz w:val="28"/>
          <w:szCs w:val="28"/>
          <w:lang w:val="el-GR"/>
        </w:rPr>
      </w:pPr>
      <w:r w:rsidRPr="00695AD6">
        <w:rPr>
          <w:rFonts w:ascii="Bookman Old Style" w:hAnsi="Bookman Old Style" w:cs="Times New Roman"/>
          <w:sz w:val="28"/>
          <w:szCs w:val="28"/>
          <w:lang w:val="el-GR"/>
        </w:rPr>
        <w:t xml:space="preserve"> θα δοθεί από την Εφραίμ, Δ.</w:t>
      </w:r>
    </w:p>
    <w:p w14:paraId="2C659FBA" w14:textId="77777777" w:rsidR="00695AD6" w:rsidRDefault="00695AD6" w:rsidP="00695AD6">
      <w:pPr>
        <w:tabs>
          <w:tab w:val="left" w:pos="567"/>
        </w:tabs>
        <w:jc w:val="center"/>
        <w:rPr>
          <w:rFonts w:ascii="Bookman Old Style" w:hAnsi="Bookman Old Style" w:cs="Times New Roman"/>
          <w:b/>
          <w:sz w:val="28"/>
          <w:szCs w:val="28"/>
          <w:u w:val="single"/>
          <w:lang w:val="el-GR"/>
        </w:rPr>
      </w:pPr>
    </w:p>
    <w:p w14:paraId="5F7502C8" w14:textId="77777777" w:rsidR="003803CB" w:rsidRDefault="003803CB" w:rsidP="00695AD6">
      <w:pPr>
        <w:tabs>
          <w:tab w:val="left" w:pos="567"/>
        </w:tabs>
        <w:jc w:val="center"/>
        <w:rPr>
          <w:rFonts w:ascii="Bookman Old Style" w:hAnsi="Bookman Old Style" w:cs="Times New Roman"/>
          <w:b/>
          <w:sz w:val="28"/>
          <w:szCs w:val="28"/>
          <w:u w:val="single"/>
          <w:lang w:val="el-GR"/>
        </w:rPr>
      </w:pPr>
    </w:p>
    <w:p w14:paraId="13412262" w14:textId="77777777" w:rsidR="00323903" w:rsidRPr="00695AD6" w:rsidRDefault="00323903" w:rsidP="00695AD6">
      <w:pPr>
        <w:tabs>
          <w:tab w:val="left" w:pos="567"/>
        </w:tabs>
        <w:jc w:val="center"/>
        <w:rPr>
          <w:rFonts w:ascii="Bookman Old Style" w:hAnsi="Bookman Old Style" w:cs="Times New Roman"/>
          <w:b/>
          <w:sz w:val="28"/>
          <w:szCs w:val="28"/>
          <w:u w:val="single"/>
          <w:lang w:val="el-GR"/>
        </w:rPr>
      </w:pPr>
    </w:p>
    <w:p w14:paraId="0462DE29" w14:textId="77777777" w:rsidR="00695AD6" w:rsidRPr="00695AD6" w:rsidRDefault="00695AD6" w:rsidP="00695AD6">
      <w:pPr>
        <w:tabs>
          <w:tab w:val="left" w:pos="567"/>
        </w:tabs>
        <w:jc w:val="center"/>
        <w:rPr>
          <w:rFonts w:ascii="Bookman Old Style" w:hAnsi="Bookman Old Style" w:cs="Times New Roman"/>
          <w:b/>
          <w:sz w:val="28"/>
          <w:szCs w:val="28"/>
          <w:u w:val="single"/>
          <w:lang w:val="el-GR"/>
        </w:rPr>
      </w:pPr>
      <w:r w:rsidRPr="00695AD6">
        <w:rPr>
          <w:rFonts w:ascii="Bookman Old Style" w:hAnsi="Bookman Old Style" w:cs="Times New Roman"/>
          <w:b/>
          <w:sz w:val="28"/>
          <w:szCs w:val="28"/>
          <w:u w:val="single"/>
          <w:lang w:val="el-GR"/>
        </w:rPr>
        <w:lastRenderedPageBreak/>
        <w:t>Α Π Ο Φ Α Σ Η</w:t>
      </w:r>
    </w:p>
    <w:p w14:paraId="4F89A8AC" w14:textId="4F5C0C92" w:rsidR="00695AD6" w:rsidRPr="00695AD6" w:rsidRDefault="00695AD6" w:rsidP="00695AD6">
      <w:pPr>
        <w:tabs>
          <w:tab w:val="left" w:pos="567"/>
        </w:tabs>
        <w:rPr>
          <w:rFonts w:ascii="Bookman Old Style" w:hAnsi="Bookman Old Style" w:cs="Times New Roman"/>
          <w:b/>
          <w:sz w:val="28"/>
          <w:szCs w:val="28"/>
          <w:lang w:val="el-GR"/>
        </w:rPr>
      </w:pPr>
      <w:r>
        <w:rPr>
          <w:rFonts w:ascii="Bookman Old Style" w:hAnsi="Bookman Old Style" w:cs="Times New Roman"/>
          <w:b/>
          <w:sz w:val="28"/>
          <w:szCs w:val="28"/>
          <w:lang w:val="el-GR"/>
        </w:rPr>
        <w:t xml:space="preserve"> </w:t>
      </w:r>
    </w:p>
    <w:p w14:paraId="54008F7E" w14:textId="195B1442" w:rsidR="004F1C86" w:rsidRDefault="00695AD6" w:rsidP="00695AD6">
      <w:pPr>
        <w:tabs>
          <w:tab w:val="left" w:pos="567"/>
        </w:tabs>
        <w:spacing w:line="480" w:lineRule="auto"/>
        <w:jc w:val="both"/>
        <w:rPr>
          <w:rFonts w:ascii="Bookman Old Style" w:hAnsi="Bookman Old Style"/>
          <w:sz w:val="28"/>
          <w:szCs w:val="28"/>
          <w:lang w:val="el-GR"/>
        </w:rPr>
      </w:pPr>
      <w:r w:rsidRPr="00695AD6">
        <w:rPr>
          <w:rFonts w:ascii="Bookman Old Style" w:hAnsi="Bookman Old Style" w:cs="Times New Roman"/>
          <w:b/>
          <w:sz w:val="28"/>
          <w:szCs w:val="28"/>
          <w:lang w:val="el-GR"/>
        </w:rPr>
        <w:tab/>
        <w:t>ΕΦΡΑΙΜ, Δ.:</w:t>
      </w:r>
      <w:r>
        <w:rPr>
          <w:rFonts w:ascii="Bookman Old Style" w:hAnsi="Bookman Old Style" w:cs="Times New Roman"/>
          <w:b/>
          <w:sz w:val="28"/>
          <w:szCs w:val="28"/>
          <w:lang w:val="el-GR"/>
        </w:rPr>
        <w:t xml:space="preserve"> </w:t>
      </w:r>
      <w:r w:rsidR="009C06A8">
        <w:rPr>
          <w:rFonts w:ascii="Bookman Old Style" w:hAnsi="Bookman Old Style"/>
          <w:sz w:val="28"/>
          <w:szCs w:val="28"/>
          <w:lang w:val="el-GR"/>
        </w:rPr>
        <w:t xml:space="preserve">Με την υπό κρίση έφεση οι Εφεσείοντες αμφισβητούν την ορθότητα της πρωτόδικης απόφασης με την οποία η απαίτηση τους εναντίον των Εφεσίβλητων 1 και 2 </w:t>
      </w:r>
      <w:r w:rsidR="00810664">
        <w:rPr>
          <w:rFonts w:ascii="Bookman Old Style" w:hAnsi="Bookman Old Style"/>
          <w:sz w:val="28"/>
          <w:szCs w:val="28"/>
          <w:lang w:val="el-GR"/>
        </w:rPr>
        <w:t xml:space="preserve">απερρίφθη </w:t>
      </w:r>
      <w:r w:rsidR="009C06A8">
        <w:rPr>
          <w:rFonts w:ascii="Bookman Old Style" w:hAnsi="Bookman Old Style"/>
          <w:sz w:val="28"/>
          <w:szCs w:val="28"/>
          <w:lang w:val="el-GR"/>
        </w:rPr>
        <w:t xml:space="preserve">στη βάση του ότι δεν κατάφεραν να την αποδείξουν στον απαιτούμενο βαθμό. </w:t>
      </w:r>
    </w:p>
    <w:p w14:paraId="790BF1D9" w14:textId="689507FE" w:rsidR="00DE2B6B" w:rsidRDefault="00695AD6" w:rsidP="00695AD6">
      <w:pPr>
        <w:tabs>
          <w:tab w:val="left" w:pos="567"/>
        </w:tabs>
        <w:spacing w:before="240" w:line="480" w:lineRule="auto"/>
        <w:jc w:val="both"/>
        <w:rPr>
          <w:rFonts w:ascii="Bookman Old Style" w:hAnsi="Bookman Old Style"/>
          <w:sz w:val="28"/>
          <w:szCs w:val="28"/>
          <w:lang w:val="el-GR"/>
        </w:rPr>
      </w:pPr>
      <w:r>
        <w:rPr>
          <w:rFonts w:ascii="Bookman Old Style" w:hAnsi="Bookman Old Style"/>
          <w:sz w:val="28"/>
          <w:szCs w:val="28"/>
          <w:lang w:val="el-GR"/>
        </w:rPr>
        <w:tab/>
      </w:r>
      <w:r w:rsidR="00DE2B6B">
        <w:rPr>
          <w:rFonts w:ascii="Bookman Old Style" w:hAnsi="Bookman Old Style"/>
          <w:sz w:val="28"/>
          <w:szCs w:val="28"/>
          <w:lang w:val="el-GR"/>
        </w:rPr>
        <w:t>Οι λόγοι έφεσης συνοψίζονται στ</w:t>
      </w:r>
      <w:r w:rsidR="00371A2D">
        <w:rPr>
          <w:rFonts w:ascii="Bookman Old Style" w:hAnsi="Bookman Old Style"/>
          <w:sz w:val="28"/>
          <w:szCs w:val="28"/>
          <w:lang w:val="el-GR"/>
        </w:rPr>
        <w:t>ο ότι το πρωτόδικο Δικαστήριο έσφαλε στην</w:t>
      </w:r>
      <w:r w:rsidR="00DE2B6B">
        <w:rPr>
          <w:rFonts w:ascii="Bookman Old Style" w:hAnsi="Bookman Old Style"/>
          <w:sz w:val="28"/>
          <w:szCs w:val="28"/>
          <w:lang w:val="el-GR"/>
        </w:rPr>
        <w:t xml:space="preserve"> αξιολόγηση </w:t>
      </w:r>
      <w:r w:rsidR="00371A2D">
        <w:rPr>
          <w:rFonts w:ascii="Bookman Old Style" w:hAnsi="Bookman Old Style"/>
          <w:sz w:val="28"/>
          <w:szCs w:val="28"/>
          <w:lang w:val="el-GR"/>
        </w:rPr>
        <w:t xml:space="preserve">της </w:t>
      </w:r>
      <w:r w:rsidR="00DE2B6B">
        <w:rPr>
          <w:rFonts w:ascii="Bookman Old Style" w:hAnsi="Bookman Old Style"/>
          <w:sz w:val="28"/>
          <w:szCs w:val="28"/>
          <w:lang w:val="el-GR"/>
        </w:rPr>
        <w:t xml:space="preserve">μαρτυρίας </w:t>
      </w:r>
      <w:r w:rsidR="00371A2D">
        <w:rPr>
          <w:rFonts w:ascii="Bookman Old Style" w:hAnsi="Bookman Old Style"/>
          <w:sz w:val="28"/>
          <w:szCs w:val="28"/>
          <w:lang w:val="el-GR"/>
        </w:rPr>
        <w:t xml:space="preserve">του ΜΕ1 </w:t>
      </w:r>
      <w:r w:rsidR="00DE2B6B">
        <w:rPr>
          <w:rFonts w:ascii="Bookman Old Style" w:hAnsi="Bookman Old Style"/>
          <w:sz w:val="28"/>
          <w:szCs w:val="28"/>
          <w:lang w:val="el-GR"/>
        </w:rPr>
        <w:t xml:space="preserve">και </w:t>
      </w:r>
      <w:r w:rsidR="00371A2D">
        <w:rPr>
          <w:rFonts w:ascii="Bookman Old Style" w:hAnsi="Bookman Old Style"/>
          <w:sz w:val="28"/>
          <w:szCs w:val="28"/>
          <w:lang w:val="el-GR"/>
        </w:rPr>
        <w:t xml:space="preserve">στην </w:t>
      </w:r>
      <w:r w:rsidR="00DE2B6B">
        <w:rPr>
          <w:rFonts w:ascii="Bookman Old Style" w:hAnsi="Bookman Old Style"/>
          <w:sz w:val="28"/>
          <w:szCs w:val="28"/>
          <w:lang w:val="el-GR"/>
        </w:rPr>
        <w:t>ερμηνεία</w:t>
      </w:r>
      <w:r w:rsidR="00371A2D">
        <w:rPr>
          <w:rFonts w:ascii="Bookman Old Style" w:hAnsi="Bookman Old Style"/>
          <w:sz w:val="28"/>
          <w:szCs w:val="28"/>
          <w:lang w:val="el-GR"/>
        </w:rPr>
        <w:t xml:space="preserve"> </w:t>
      </w:r>
      <w:r w:rsidR="00323903">
        <w:rPr>
          <w:rFonts w:ascii="Bookman Old Style" w:hAnsi="Bookman Old Style"/>
          <w:sz w:val="28"/>
          <w:szCs w:val="28"/>
          <w:lang w:val="el-GR"/>
        </w:rPr>
        <w:t>αριθμού</w:t>
      </w:r>
      <w:r w:rsidR="00DE2B6B">
        <w:rPr>
          <w:rFonts w:ascii="Bookman Old Style" w:hAnsi="Bookman Old Style"/>
          <w:sz w:val="28"/>
          <w:szCs w:val="28"/>
          <w:lang w:val="el-GR"/>
        </w:rPr>
        <w:t xml:space="preserve"> </w:t>
      </w:r>
      <w:r w:rsidR="00371A2D">
        <w:rPr>
          <w:rFonts w:ascii="Bookman Old Style" w:hAnsi="Bookman Old Style"/>
          <w:sz w:val="28"/>
          <w:szCs w:val="28"/>
          <w:lang w:val="el-GR"/>
        </w:rPr>
        <w:t xml:space="preserve">Τεκμηρίων, ότι κατά την αξιολόγηση της μαρτυρίας δεν έλαβε υπόψιν τις δικογραφημένες θέσεις των Εφεσίβλητων και ότι προέβη σε </w:t>
      </w:r>
      <w:r w:rsidR="00DE2B6B">
        <w:rPr>
          <w:rFonts w:ascii="Bookman Old Style" w:hAnsi="Bookman Old Style"/>
          <w:sz w:val="28"/>
          <w:szCs w:val="28"/>
          <w:lang w:val="el-GR"/>
        </w:rPr>
        <w:t xml:space="preserve">λανθασμένη θεώρηση και αυστηρότερη εφαρμογή του βάρους απόδειξης. </w:t>
      </w:r>
    </w:p>
    <w:p w14:paraId="0F282934" w14:textId="260243E1" w:rsidR="00EE3270" w:rsidRDefault="00EE3270" w:rsidP="00695AD6">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Η Αγωγή καταχωρίστηκε από τους Εφεσείοντες εναντίον των </w:t>
      </w:r>
      <w:r w:rsidR="00323903">
        <w:rPr>
          <w:rFonts w:ascii="Bookman Old Style" w:hAnsi="Bookman Old Style"/>
          <w:sz w:val="28"/>
          <w:szCs w:val="28"/>
          <w:lang w:val="el-GR"/>
        </w:rPr>
        <w:t xml:space="preserve">Εφεσίβλητων και μια τρίτης εταιρείας </w:t>
      </w:r>
      <w:r w:rsidR="001D3EEC">
        <w:rPr>
          <w:rFonts w:ascii="Bookman Old Style" w:hAnsi="Bookman Old Style"/>
          <w:sz w:val="28"/>
          <w:szCs w:val="28"/>
          <w:lang w:val="el-GR"/>
        </w:rPr>
        <w:t>για την αξίωση του ποσού των €26.819,31 ως υπόλοιπο δυνάμει πώλησης αεροπορικών εισ</w:t>
      </w:r>
      <w:r w:rsidR="00D275DF">
        <w:rPr>
          <w:rFonts w:ascii="Bookman Old Style" w:hAnsi="Bookman Old Style"/>
          <w:sz w:val="28"/>
          <w:szCs w:val="28"/>
          <w:lang w:val="el-GR"/>
        </w:rPr>
        <w:t>ι</w:t>
      </w:r>
      <w:r w:rsidR="001D3EEC">
        <w:rPr>
          <w:rFonts w:ascii="Bookman Old Style" w:hAnsi="Bookman Old Style"/>
          <w:sz w:val="28"/>
          <w:szCs w:val="28"/>
          <w:lang w:val="el-GR"/>
        </w:rPr>
        <w:t>τηρίων και ή τιμολογίων και ή κατάσταση</w:t>
      </w:r>
      <w:r w:rsidR="005508BB">
        <w:rPr>
          <w:rFonts w:ascii="Bookman Old Style" w:hAnsi="Bookman Old Style"/>
          <w:sz w:val="28"/>
          <w:szCs w:val="28"/>
          <w:lang w:val="el-GR"/>
        </w:rPr>
        <w:t>ς</w:t>
      </w:r>
      <w:r w:rsidR="001D3EEC">
        <w:rPr>
          <w:rFonts w:ascii="Bookman Old Style" w:hAnsi="Bookman Old Style"/>
          <w:sz w:val="28"/>
          <w:szCs w:val="28"/>
          <w:lang w:val="el-GR"/>
        </w:rPr>
        <w:t xml:space="preserve"> λογαριασμού. </w:t>
      </w:r>
      <w:r w:rsidR="00323903">
        <w:rPr>
          <w:rFonts w:ascii="Bookman Old Style" w:hAnsi="Bookman Old Style"/>
          <w:sz w:val="28"/>
          <w:szCs w:val="28"/>
          <w:lang w:val="el-GR"/>
        </w:rPr>
        <w:t xml:space="preserve">Οι Εφεσίβλητοι είναι οι διαχειριστές της περιουσίας του αποβιώσαντος ΚΚ ο οποίος είχε ταξιδιωτικό γραφείο υπό την </w:t>
      </w:r>
      <w:r w:rsidR="00930A1E">
        <w:rPr>
          <w:rFonts w:ascii="Bookman Old Style" w:hAnsi="Bookman Old Style"/>
          <w:sz w:val="28"/>
          <w:szCs w:val="28"/>
          <w:lang w:val="el-GR"/>
        </w:rPr>
        <w:t>ως άνω εταιρεία</w:t>
      </w:r>
      <w:r w:rsidR="00323903">
        <w:rPr>
          <w:rFonts w:ascii="Bookman Old Style" w:hAnsi="Bookman Old Style"/>
          <w:sz w:val="28"/>
          <w:szCs w:val="28"/>
          <w:lang w:val="el-GR"/>
        </w:rPr>
        <w:t xml:space="preserve">. Όταν ο ΚΚ απεβίωσε, οι Εφεσείοντες καταχώρισαν Αγωγή εναντίον των διαχειριστών της </w:t>
      </w:r>
      <w:r w:rsidR="00323903">
        <w:rPr>
          <w:rFonts w:ascii="Bookman Old Style" w:hAnsi="Bookman Old Style"/>
          <w:sz w:val="28"/>
          <w:szCs w:val="28"/>
          <w:lang w:val="el-GR"/>
        </w:rPr>
        <w:lastRenderedPageBreak/>
        <w:t xml:space="preserve">περιουσίας του και της εταιρείας </w:t>
      </w:r>
      <w:r w:rsidR="0084180A">
        <w:rPr>
          <w:rFonts w:ascii="Bookman Old Style" w:hAnsi="Bookman Old Style"/>
          <w:sz w:val="28"/>
          <w:szCs w:val="28"/>
          <w:lang w:val="el-GR"/>
        </w:rPr>
        <w:t xml:space="preserve">αξιώνοντας το ως άνω ποσό. </w:t>
      </w:r>
      <w:r w:rsidR="001D3EEC">
        <w:rPr>
          <w:rFonts w:ascii="Bookman Old Style" w:hAnsi="Bookman Old Style"/>
          <w:sz w:val="28"/>
          <w:szCs w:val="28"/>
          <w:lang w:val="el-GR"/>
        </w:rPr>
        <w:t xml:space="preserve">Στις ξεχωριστές Υπερασπίσεις τους οι εναγόμενοι 1 και 2, Εφεσίβλητοι, αρνούνται οποιαδήποτε συναλλαγή με τους Εφεσείοντες και ισχυρίζονται ότι οποιαδήποτε τέτοια συναλλαγή αφορά την </w:t>
      </w:r>
      <w:r w:rsidR="001D0A75">
        <w:rPr>
          <w:rFonts w:ascii="Bookman Old Style" w:hAnsi="Bookman Old Style"/>
          <w:sz w:val="28"/>
          <w:szCs w:val="28"/>
          <w:lang w:val="el-GR"/>
        </w:rPr>
        <w:t xml:space="preserve">εταιρεία </w:t>
      </w:r>
      <w:r w:rsidR="001D3EEC">
        <w:rPr>
          <w:rFonts w:ascii="Bookman Old Style" w:hAnsi="Bookman Old Style"/>
          <w:sz w:val="28"/>
          <w:szCs w:val="28"/>
          <w:lang w:val="el-GR"/>
        </w:rPr>
        <w:t xml:space="preserve">και όχι τον </w:t>
      </w:r>
      <w:r w:rsidR="005508BB">
        <w:rPr>
          <w:rFonts w:ascii="Bookman Old Style" w:hAnsi="Bookman Old Style"/>
          <w:sz w:val="28"/>
          <w:szCs w:val="28"/>
          <w:lang w:val="el-GR"/>
        </w:rPr>
        <w:t xml:space="preserve">αποβιώσαντα (ΚΚ) </w:t>
      </w:r>
      <w:r w:rsidR="001D3EEC">
        <w:rPr>
          <w:rFonts w:ascii="Bookman Old Style" w:hAnsi="Bookman Old Style"/>
          <w:sz w:val="28"/>
          <w:szCs w:val="28"/>
          <w:lang w:val="el-GR"/>
        </w:rPr>
        <w:t xml:space="preserve">υπό την προσωπική του ιδιότητα. Πριν την έναρξη της ακροαματικής διαδικασίας ο δικηγόρος των Εφεσειόντων ζήτησε άδεια να αποσύρει την Αγωγή εναντίον της </w:t>
      </w:r>
      <w:r w:rsidR="001D0A75">
        <w:rPr>
          <w:rFonts w:ascii="Bookman Old Style" w:hAnsi="Bookman Old Style"/>
          <w:sz w:val="28"/>
          <w:szCs w:val="28"/>
          <w:lang w:val="el-GR"/>
        </w:rPr>
        <w:t xml:space="preserve">εταιρείας </w:t>
      </w:r>
      <w:r w:rsidR="001D3EEC">
        <w:rPr>
          <w:rFonts w:ascii="Bookman Old Style" w:hAnsi="Bookman Old Style"/>
          <w:sz w:val="28"/>
          <w:szCs w:val="28"/>
          <w:lang w:val="el-GR"/>
        </w:rPr>
        <w:t>λόγω αδυναμίας επίδοσης, εξού και η Αγωγή απεσύρθη άνευ βλάβης εναντίον της</w:t>
      </w:r>
      <w:r w:rsidR="007B46AB" w:rsidRPr="007B46AB">
        <w:rPr>
          <w:rFonts w:ascii="Bookman Old Style" w:hAnsi="Bookman Old Style"/>
          <w:sz w:val="28"/>
          <w:szCs w:val="28"/>
          <w:lang w:val="el-GR"/>
        </w:rPr>
        <w:t xml:space="preserve"> </w:t>
      </w:r>
      <w:r w:rsidR="007B46AB">
        <w:rPr>
          <w:rFonts w:ascii="Bookman Old Style" w:hAnsi="Bookman Old Style"/>
          <w:sz w:val="28"/>
          <w:szCs w:val="28"/>
          <w:lang w:val="el-GR"/>
        </w:rPr>
        <w:t>και εκδικάστηκε μόνο όσον αφορά τους Εφεσίβλητους</w:t>
      </w:r>
      <w:r w:rsidR="001D3EEC">
        <w:rPr>
          <w:rFonts w:ascii="Bookman Old Style" w:hAnsi="Bookman Old Style"/>
          <w:sz w:val="28"/>
          <w:szCs w:val="28"/>
          <w:lang w:val="el-GR"/>
        </w:rPr>
        <w:t xml:space="preserve">. </w:t>
      </w:r>
    </w:p>
    <w:p w14:paraId="18996753" w14:textId="4461F0BC" w:rsidR="00FC5750" w:rsidRPr="00F85E26" w:rsidRDefault="00695AD6" w:rsidP="00695AD6">
      <w:pPr>
        <w:tabs>
          <w:tab w:val="left" w:pos="567"/>
        </w:tabs>
        <w:spacing w:before="100" w:beforeAutospacing="1" w:line="480" w:lineRule="auto"/>
        <w:jc w:val="both"/>
        <w:rPr>
          <w:rFonts w:ascii="Bookman Old Style" w:hAnsi="Bookman Old Style"/>
          <w:sz w:val="28"/>
          <w:szCs w:val="28"/>
          <w:lang w:val="el-GR"/>
        </w:rPr>
      </w:pPr>
      <w:r>
        <w:rPr>
          <w:rFonts w:ascii="Bookman Old Style" w:hAnsi="Bookman Old Style"/>
          <w:sz w:val="28"/>
          <w:szCs w:val="28"/>
          <w:lang w:val="el-GR"/>
        </w:rPr>
        <w:tab/>
      </w:r>
      <w:r w:rsidR="00FC5750">
        <w:rPr>
          <w:rFonts w:ascii="Bookman Old Style" w:hAnsi="Bookman Old Style"/>
          <w:sz w:val="28"/>
          <w:szCs w:val="28"/>
          <w:lang w:val="el-GR"/>
        </w:rPr>
        <w:t xml:space="preserve">Έχει επανειλημμένα τονισθεί πως το Εφετείο επεμβαίνει μόνο σε εξαιρετικές περιπτώσεις στον τρόπο αξιολόγησης από το πρωτόδικο Δικαστήριο της αξιοπιστίας των μαρτύρων. Το ακόλουθο απόσπασμα από την υπόθεση </w:t>
      </w:r>
      <w:r w:rsidR="00F85E26" w:rsidRPr="001D0A75">
        <w:rPr>
          <w:rFonts w:ascii="Bookman Old Style" w:hAnsi="Bookman Old Style"/>
          <w:b/>
          <w:bCs/>
          <w:i/>
          <w:iCs/>
          <w:sz w:val="28"/>
          <w:szCs w:val="28"/>
          <w:lang w:val="el-GR"/>
        </w:rPr>
        <w:t xml:space="preserve">Εργοληπτική Εταιρεία Αμφιάραος Λτδ </w:t>
      </w:r>
      <w:r w:rsidR="00F85E26" w:rsidRPr="001D0A75">
        <w:rPr>
          <w:rFonts w:ascii="Bookman Old Style" w:hAnsi="Bookman Old Style"/>
          <w:b/>
          <w:bCs/>
          <w:i/>
          <w:iCs/>
          <w:sz w:val="28"/>
          <w:szCs w:val="28"/>
          <w:lang w:val="en-GB"/>
        </w:rPr>
        <w:t>v</w:t>
      </w:r>
      <w:r w:rsidR="00F85E26" w:rsidRPr="001D0A75">
        <w:rPr>
          <w:rFonts w:ascii="Bookman Old Style" w:hAnsi="Bookman Old Style"/>
          <w:b/>
          <w:bCs/>
          <w:i/>
          <w:iCs/>
          <w:sz w:val="28"/>
          <w:szCs w:val="28"/>
          <w:lang w:val="el-GR"/>
        </w:rPr>
        <w:t xml:space="preserve">. </w:t>
      </w:r>
      <w:r w:rsidR="00F85E26" w:rsidRPr="001D0A75">
        <w:rPr>
          <w:rFonts w:ascii="Bookman Old Style" w:hAnsi="Bookman Old Style"/>
          <w:b/>
          <w:bCs/>
          <w:i/>
          <w:iCs/>
          <w:sz w:val="28"/>
          <w:szCs w:val="28"/>
          <w:lang w:val="en-GB"/>
        </w:rPr>
        <w:t>Mikeilov</w:t>
      </w:r>
      <w:r w:rsidR="00F85E26" w:rsidRPr="001D0A75">
        <w:rPr>
          <w:rFonts w:ascii="Bookman Old Style" w:hAnsi="Bookman Old Style"/>
          <w:b/>
          <w:bCs/>
          <w:i/>
          <w:iCs/>
          <w:sz w:val="28"/>
          <w:szCs w:val="28"/>
          <w:lang w:val="el-GR"/>
        </w:rPr>
        <w:t>, Πολ. Έφ</w:t>
      </w:r>
      <w:r w:rsidR="001D0A75" w:rsidRPr="001D0A75">
        <w:rPr>
          <w:rFonts w:ascii="Bookman Old Style" w:hAnsi="Bookman Old Style"/>
          <w:b/>
          <w:bCs/>
          <w:i/>
          <w:iCs/>
          <w:sz w:val="28"/>
          <w:szCs w:val="28"/>
          <w:lang w:val="el-GR"/>
        </w:rPr>
        <w:t>.</w:t>
      </w:r>
      <w:r w:rsidR="00F85E26" w:rsidRPr="001D0A75">
        <w:rPr>
          <w:rFonts w:ascii="Bookman Old Style" w:hAnsi="Bookman Old Style"/>
          <w:b/>
          <w:bCs/>
          <w:i/>
          <w:iCs/>
          <w:sz w:val="28"/>
          <w:szCs w:val="28"/>
          <w:lang w:val="el-GR"/>
        </w:rPr>
        <w:t xml:space="preserve"> Αρ. 173/12, ημερ. 28.9.2018</w:t>
      </w:r>
      <w:r w:rsidR="00F85E26">
        <w:rPr>
          <w:rFonts w:ascii="Bookman Old Style" w:hAnsi="Bookman Old Style"/>
          <w:sz w:val="28"/>
          <w:szCs w:val="28"/>
          <w:lang w:val="el-GR"/>
        </w:rPr>
        <w:t>, είναι διαφωτιστικό</w:t>
      </w:r>
      <w:r w:rsidR="00F85E26" w:rsidRPr="00F85E26">
        <w:rPr>
          <w:rFonts w:ascii="Bookman Old Style" w:hAnsi="Bookman Old Style"/>
          <w:sz w:val="28"/>
          <w:szCs w:val="28"/>
          <w:lang w:val="el-GR"/>
        </w:rPr>
        <w:t>:</w:t>
      </w:r>
    </w:p>
    <w:p w14:paraId="3C04A082" w14:textId="5EFF6A99" w:rsidR="00F85E26" w:rsidRDefault="00F85E26" w:rsidP="00695AD6">
      <w:pPr>
        <w:spacing w:before="100" w:beforeAutospacing="1" w:line="240" w:lineRule="auto"/>
        <w:ind w:left="567"/>
        <w:jc w:val="both"/>
        <w:rPr>
          <w:rFonts w:ascii="Bookman Old Style" w:hAnsi="Bookman Old Style"/>
          <w:i/>
          <w:iCs/>
          <w:color w:val="000000"/>
          <w:sz w:val="28"/>
          <w:szCs w:val="28"/>
          <w:lang w:val="el-GR"/>
        </w:rPr>
      </w:pPr>
      <w:r w:rsidRPr="00695AD6">
        <w:rPr>
          <w:rFonts w:ascii="Bookman Old Style" w:hAnsi="Bookman Old Style"/>
          <w:color w:val="000000"/>
          <w:sz w:val="28"/>
          <w:szCs w:val="28"/>
          <w:lang w:val="el-GR"/>
        </w:rPr>
        <w:t>«</w:t>
      </w:r>
      <w:r w:rsidR="00FC5750" w:rsidRPr="00695AD6">
        <w:rPr>
          <w:rFonts w:ascii="Bookman Old Style" w:hAnsi="Bookman Old Style"/>
          <w:i/>
          <w:iCs/>
          <w:color w:val="000000"/>
          <w:sz w:val="28"/>
          <w:szCs w:val="28"/>
          <w:lang w:val="el-GR"/>
        </w:rPr>
        <w:t>Αποτελεί πάγια θέση της νομολογίας ότι ο τρόπος που αξιολογούνται οι μάρτυρες, αποτελεί ένα από τα πρωταρχικά καθήκοντα του πρωτόδικου δικαστηρίου, το οποίο είναι σε πλεονεκτική θέση να παρακολουθεί τους μάρτυρες στη ζωντανή ατμόσφαιρα της δικαστικής αίθουσας με όλα τα συνακόλουθα ευεργετήματα (βλ.</w:t>
      </w:r>
      <w:r w:rsidR="00FC5750" w:rsidRPr="00695AD6">
        <w:rPr>
          <w:rFonts w:ascii="Bookman Old Style" w:hAnsi="Bookman Old Style"/>
          <w:i/>
          <w:iCs/>
          <w:color w:val="000000"/>
          <w:sz w:val="28"/>
          <w:szCs w:val="28"/>
        </w:rPr>
        <w:t> </w:t>
      </w:r>
      <w:r w:rsidR="00FC5750" w:rsidRPr="00695AD6">
        <w:rPr>
          <w:rFonts w:ascii="Bookman Old Style" w:hAnsi="Bookman Old Style"/>
          <w:b/>
          <w:bCs/>
          <w:i/>
          <w:iCs/>
          <w:color w:val="000000"/>
          <w:sz w:val="28"/>
          <w:szCs w:val="28"/>
        </w:rPr>
        <w:t xml:space="preserve">Μάρκαρη ν. Παρασκευά (2012) 1 (Β) ΑΑΔ 1493, Τσιαττές ν. Κ. Solomonides (Cartridges Industries) Ltd (2009) 1B ΑΑΔ </w:t>
      </w:r>
      <w:r w:rsidR="00FC5750" w:rsidRPr="00695AD6">
        <w:rPr>
          <w:rFonts w:ascii="Bookman Old Style" w:hAnsi="Bookman Old Style"/>
          <w:b/>
          <w:bCs/>
          <w:i/>
          <w:iCs/>
          <w:color w:val="000000"/>
          <w:sz w:val="28"/>
          <w:szCs w:val="28"/>
        </w:rPr>
        <w:lastRenderedPageBreak/>
        <w:t>974 </w:t>
      </w:r>
      <w:r w:rsidR="00FC5750" w:rsidRPr="00695AD6">
        <w:rPr>
          <w:rFonts w:ascii="Bookman Old Style" w:hAnsi="Bookman Old Style"/>
          <w:i/>
          <w:iCs/>
          <w:color w:val="000000"/>
          <w:sz w:val="28"/>
          <w:szCs w:val="28"/>
        </w:rPr>
        <w:t>και </w:t>
      </w:r>
      <w:r w:rsidR="00FC5750" w:rsidRPr="00695AD6">
        <w:rPr>
          <w:rFonts w:ascii="Bookman Old Style" w:hAnsi="Bookman Old Style"/>
          <w:b/>
          <w:bCs/>
          <w:i/>
          <w:iCs/>
          <w:color w:val="000000"/>
          <w:sz w:val="28"/>
          <w:szCs w:val="28"/>
        </w:rPr>
        <w:t>Γρηγόρης Ιωαννίδης ν. Γεώργιου Χαραλαμπίδη, Πολ. Εφ. 336/2012, ημ. 10/7/2018). </w:t>
      </w:r>
      <w:r w:rsidR="00FC5750" w:rsidRPr="00695AD6">
        <w:rPr>
          <w:rFonts w:ascii="Bookman Old Style" w:hAnsi="Bookman Old Style"/>
          <w:i/>
          <w:iCs/>
          <w:color w:val="000000"/>
          <w:sz w:val="28"/>
          <w:szCs w:val="28"/>
          <w:lang w:val="el-GR"/>
        </w:rPr>
        <w:t>Το Εφετείο επεμβαίνει μόνο σε εξαιρετικές περιπτώσεις στον τρόπο που το δικαστήριο αξιολογεί την αξιοπιστία των μαρτύρων (βλ.</w:t>
      </w:r>
      <w:r w:rsidR="00FC5750" w:rsidRPr="00695AD6">
        <w:rPr>
          <w:rFonts w:ascii="Bookman Old Style" w:hAnsi="Bookman Old Style"/>
          <w:i/>
          <w:iCs/>
          <w:color w:val="000000"/>
          <w:sz w:val="28"/>
          <w:szCs w:val="28"/>
        </w:rPr>
        <w:t> </w:t>
      </w:r>
      <w:r w:rsidR="00FC5750" w:rsidRPr="00695AD6">
        <w:rPr>
          <w:rFonts w:ascii="Bookman Old Style" w:hAnsi="Bookman Old Style"/>
          <w:b/>
          <w:bCs/>
          <w:i/>
          <w:iCs/>
          <w:color w:val="000000"/>
          <w:sz w:val="28"/>
          <w:szCs w:val="28"/>
          <w:lang w:val="el-GR"/>
        </w:rPr>
        <w:t>Πίτσιλλος ν. Ευγενίου (1989) 1</w:t>
      </w:r>
      <w:r w:rsidR="00FC5750" w:rsidRPr="00695AD6">
        <w:rPr>
          <w:rFonts w:ascii="Bookman Old Style" w:hAnsi="Bookman Old Style"/>
          <w:b/>
          <w:bCs/>
          <w:i/>
          <w:iCs/>
          <w:color w:val="000000"/>
          <w:sz w:val="28"/>
          <w:szCs w:val="28"/>
        </w:rPr>
        <w:t>E </w:t>
      </w:r>
      <w:r w:rsidR="00FC5750" w:rsidRPr="00695AD6">
        <w:rPr>
          <w:rFonts w:ascii="Bookman Old Style" w:hAnsi="Bookman Old Style"/>
          <w:b/>
          <w:bCs/>
          <w:i/>
          <w:iCs/>
          <w:color w:val="000000"/>
          <w:sz w:val="28"/>
          <w:szCs w:val="28"/>
          <w:lang w:val="el-GR"/>
        </w:rPr>
        <w:t>ΑΑΔ 691</w:t>
      </w:r>
      <w:r w:rsidR="00FC5750" w:rsidRPr="00695AD6">
        <w:rPr>
          <w:rFonts w:ascii="Bookman Old Style" w:hAnsi="Bookman Old Style"/>
          <w:b/>
          <w:bCs/>
          <w:i/>
          <w:iCs/>
          <w:color w:val="000000"/>
          <w:sz w:val="28"/>
          <w:szCs w:val="28"/>
        </w:rPr>
        <w:t> </w:t>
      </w:r>
      <w:r w:rsidR="00FC5750" w:rsidRPr="00695AD6">
        <w:rPr>
          <w:rFonts w:ascii="Bookman Old Style" w:hAnsi="Bookman Old Style"/>
          <w:i/>
          <w:iCs/>
          <w:color w:val="000000"/>
          <w:sz w:val="28"/>
          <w:szCs w:val="28"/>
          <w:lang w:val="el-GR"/>
        </w:rPr>
        <w:t>και</w:t>
      </w:r>
      <w:r w:rsidR="00FC5750" w:rsidRPr="00695AD6">
        <w:rPr>
          <w:rFonts w:ascii="Bookman Old Style" w:hAnsi="Bookman Old Style"/>
          <w:i/>
          <w:iCs/>
          <w:color w:val="000000"/>
          <w:sz w:val="28"/>
          <w:szCs w:val="28"/>
        </w:rPr>
        <w:t> </w:t>
      </w:r>
      <w:r w:rsidR="00FC5750" w:rsidRPr="00695AD6">
        <w:rPr>
          <w:rFonts w:ascii="Bookman Old Style" w:hAnsi="Bookman Old Style"/>
          <w:b/>
          <w:bCs/>
          <w:i/>
          <w:iCs/>
          <w:color w:val="000000"/>
          <w:sz w:val="28"/>
          <w:szCs w:val="28"/>
          <w:lang w:val="el-GR"/>
        </w:rPr>
        <w:t>Γεώργιος &amp; Σπύρος Τσαππή Λτδ ν. Πολυβίου (2009) 1</w:t>
      </w:r>
      <w:r w:rsidR="00FC5750" w:rsidRPr="00695AD6">
        <w:rPr>
          <w:rFonts w:ascii="Bookman Old Style" w:hAnsi="Bookman Old Style"/>
          <w:b/>
          <w:bCs/>
          <w:i/>
          <w:iCs/>
          <w:color w:val="000000"/>
          <w:sz w:val="28"/>
          <w:szCs w:val="28"/>
        </w:rPr>
        <w:t>A </w:t>
      </w:r>
      <w:r w:rsidR="00FC5750" w:rsidRPr="00695AD6">
        <w:rPr>
          <w:rFonts w:ascii="Bookman Old Style" w:hAnsi="Bookman Old Style"/>
          <w:b/>
          <w:bCs/>
          <w:i/>
          <w:iCs/>
          <w:color w:val="000000"/>
          <w:sz w:val="28"/>
          <w:szCs w:val="28"/>
          <w:lang w:val="el-GR"/>
        </w:rPr>
        <w:t>ΑΑΔ 339).</w:t>
      </w:r>
      <w:r w:rsidR="00FC5750" w:rsidRPr="00695AD6">
        <w:rPr>
          <w:rFonts w:ascii="Bookman Old Style" w:hAnsi="Bookman Old Style"/>
          <w:b/>
          <w:bCs/>
          <w:i/>
          <w:iCs/>
          <w:color w:val="000000"/>
          <w:sz w:val="28"/>
          <w:szCs w:val="28"/>
        </w:rPr>
        <w:t> </w:t>
      </w:r>
      <w:r w:rsidR="00FC5750" w:rsidRPr="00695AD6">
        <w:rPr>
          <w:rFonts w:ascii="Bookman Old Style" w:hAnsi="Bookman Old Style"/>
          <w:i/>
          <w:iCs/>
          <w:color w:val="000000"/>
          <w:sz w:val="28"/>
          <w:szCs w:val="28"/>
          <w:lang w:val="el-GR"/>
        </w:rPr>
        <w:t>Αυτό γίνεται όταν το Δικαστήριο διαπιστώσει ότι τα συμπεράσματα του πρωτόδικου δικαστηρίου για την αξιοπιστία των μαρτύρων, αντικειμενικά κρίνοντας, δεν είναι ευλόγως επιτρεπτά, αντιστρατεύονται την κοινή λογική, δεν δικαιολογούνται από τη μαρτυρία, είναι εξ αντικειμένου ανυπόστατα ή όταν διαπιστώνονται αντιφάσεις ουσιαστικής μορφής. (βλ.</w:t>
      </w:r>
      <w:r w:rsidR="00FC5750" w:rsidRPr="00695AD6">
        <w:rPr>
          <w:rFonts w:ascii="Bookman Old Style" w:hAnsi="Bookman Old Style"/>
          <w:i/>
          <w:iCs/>
          <w:color w:val="000000"/>
          <w:sz w:val="28"/>
          <w:szCs w:val="28"/>
        </w:rPr>
        <w:t> </w:t>
      </w:r>
      <w:r w:rsidR="00FC5750" w:rsidRPr="00695AD6">
        <w:rPr>
          <w:rFonts w:ascii="Bookman Old Style" w:hAnsi="Bookman Old Style"/>
          <w:b/>
          <w:bCs/>
          <w:i/>
          <w:iCs/>
          <w:color w:val="000000"/>
          <w:sz w:val="28"/>
          <w:szCs w:val="28"/>
          <w:lang w:val="el-GR"/>
        </w:rPr>
        <w:t>Γιάλλουρος ν. Ψύλλου (2009) 1 ΑΑΔ 1552</w:t>
      </w:r>
      <w:r w:rsidR="00FC5750" w:rsidRPr="00695AD6">
        <w:rPr>
          <w:rFonts w:ascii="Bookman Old Style" w:hAnsi="Bookman Old Style"/>
          <w:b/>
          <w:bCs/>
          <w:i/>
          <w:iCs/>
          <w:color w:val="000000"/>
          <w:sz w:val="28"/>
          <w:szCs w:val="28"/>
        </w:rPr>
        <w:t> </w:t>
      </w:r>
      <w:r w:rsidR="00FC5750" w:rsidRPr="00695AD6">
        <w:rPr>
          <w:rFonts w:ascii="Bookman Old Style" w:hAnsi="Bookman Old Style"/>
          <w:i/>
          <w:iCs/>
          <w:color w:val="000000"/>
          <w:sz w:val="28"/>
          <w:szCs w:val="28"/>
          <w:lang w:val="el-GR"/>
        </w:rPr>
        <w:t>και</w:t>
      </w:r>
      <w:r w:rsidR="00FC5750" w:rsidRPr="00695AD6">
        <w:rPr>
          <w:rFonts w:ascii="Bookman Old Style" w:hAnsi="Bookman Old Style"/>
          <w:i/>
          <w:iCs/>
          <w:color w:val="000000"/>
          <w:sz w:val="28"/>
          <w:szCs w:val="28"/>
        </w:rPr>
        <w:t> </w:t>
      </w:r>
      <w:r w:rsidR="00FC5750" w:rsidRPr="00695AD6">
        <w:rPr>
          <w:rFonts w:ascii="Bookman Old Style" w:hAnsi="Bookman Old Style"/>
          <w:b/>
          <w:bCs/>
          <w:i/>
          <w:iCs/>
          <w:color w:val="000000"/>
          <w:sz w:val="28"/>
          <w:szCs w:val="28"/>
          <w:lang w:val="el-GR"/>
        </w:rPr>
        <w:t>Δήμος Παπαδόπουλος ν. Σωτήρη Παναγιώτου Κο Λίμιτεδ, Πολ. Έφ. 399/11, ημ. 15/11/17).</w:t>
      </w:r>
      <w:r w:rsidRPr="00695AD6">
        <w:rPr>
          <w:rFonts w:ascii="Bookman Old Style" w:hAnsi="Bookman Old Style"/>
          <w:color w:val="000000"/>
          <w:sz w:val="28"/>
          <w:szCs w:val="28"/>
          <w:lang w:val="el-GR"/>
        </w:rPr>
        <w:t>»</w:t>
      </w:r>
    </w:p>
    <w:p w14:paraId="1A31893C" w14:textId="77777777" w:rsidR="00695AD6" w:rsidRPr="00695AD6" w:rsidRDefault="00695AD6" w:rsidP="00695AD6">
      <w:pPr>
        <w:spacing w:after="0" w:line="240" w:lineRule="auto"/>
        <w:ind w:left="567"/>
        <w:jc w:val="both"/>
        <w:rPr>
          <w:rFonts w:ascii="Bookman Old Style" w:hAnsi="Bookman Old Style"/>
          <w:i/>
          <w:iCs/>
          <w:color w:val="000000"/>
          <w:sz w:val="28"/>
          <w:szCs w:val="28"/>
          <w:lang w:val="el-GR"/>
        </w:rPr>
      </w:pPr>
    </w:p>
    <w:p w14:paraId="74D250B3" w14:textId="1D53DF43" w:rsidR="00451923" w:rsidRPr="00451923" w:rsidRDefault="00695AD6" w:rsidP="00695AD6">
      <w:pPr>
        <w:tabs>
          <w:tab w:val="left" w:pos="567"/>
        </w:tabs>
        <w:spacing w:before="100" w:beforeAutospacing="1" w:line="480" w:lineRule="auto"/>
        <w:jc w:val="both"/>
        <w:rPr>
          <w:rFonts w:ascii="Bookman Old Style" w:hAnsi="Bookman Old Style"/>
          <w:b/>
          <w:bCs/>
          <w:sz w:val="28"/>
          <w:szCs w:val="28"/>
          <w:lang w:val="el-GR"/>
        </w:rPr>
      </w:pPr>
      <w:r>
        <w:rPr>
          <w:rFonts w:ascii="Bookman Old Style" w:hAnsi="Bookman Old Style"/>
          <w:color w:val="000000"/>
          <w:sz w:val="28"/>
          <w:szCs w:val="28"/>
          <w:lang w:val="el-GR"/>
        </w:rPr>
        <w:tab/>
      </w:r>
      <w:r w:rsidR="00451923">
        <w:rPr>
          <w:rFonts w:ascii="Bookman Old Style" w:hAnsi="Bookman Old Style"/>
          <w:color w:val="000000"/>
          <w:sz w:val="28"/>
          <w:szCs w:val="28"/>
          <w:lang w:val="el-GR"/>
        </w:rPr>
        <w:t xml:space="preserve">Οι ίδιες αρχές </w:t>
      </w:r>
      <w:r w:rsidR="009C4E6C">
        <w:rPr>
          <w:rFonts w:ascii="Bookman Old Style" w:hAnsi="Bookman Old Style"/>
          <w:color w:val="000000"/>
          <w:sz w:val="28"/>
          <w:szCs w:val="28"/>
          <w:lang w:val="el-GR"/>
        </w:rPr>
        <w:t>υιοθετήθηκα</w:t>
      </w:r>
      <w:r w:rsidR="004F0FB1">
        <w:rPr>
          <w:rFonts w:ascii="Bookman Old Style" w:hAnsi="Bookman Old Style"/>
          <w:color w:val="000000"/>
          <w:sz w:val="28"/>
          <w:szCs w:val="28"/>
          <w:lang w:val="el-GR"/>
        </w:rPr>
        <w:t xml:space="preserve">ν </w:t>
      </w:r>
      <w:r w:rsidR="00451923">
        <w:rPr>
          <w:rFonts w:ascii="Bookman Old Style" w:hAnsi="Bookman Old Style"/>
          <w:color w:val="000000"/>
          <w:sz w:val="28"/>
          <w:szCs w:val="28"/>
          <w:lang w:val="el-GR"/>
        </w:rPr>
        <w:t xml:space="preserve">στην πιο πρόσφατη υπόθεση </w:t>
      </w:r>
      <w:r w:rsidR="00451923" w:rsidRPr="001D0A75">
        <w:rPr>
          <w:rFonts w:ascii="Bookman Old Style" w:hAnsi="Bookman Old Style"/>
          <w:b/>
          <w:bCs/>
          <w:i/>
          <w:iCs/>
          <w:sz w:val="28"/>
          <w:szCs w:val="28"/>
        </w:rPr>
        <w:t>S</w:t>
      </w:r>
      <w:r w:rsidR="00451923" w:rsidRPr="001D0A75">
        <w:rPr>
          <w:rFonts w:ascii="Bookman Old Style" w:hAnsi="Bookman Old Style"/>
          <w:b/>
          <w:bCs/>
          <w:i/>
          <w:iCs/>
          <w:sz w:val="28"/>
          <w:szCs w:val="28"/>
          <w:lang w:val="el-GR"/>
        </w:rPr>
        <w:t xml:space="preserve">. </w:t>
      </w:r>
      <w:r w:rsidR="00451923" w:rsidRPr="001D0A75">
        <w:rPr>
          <w:rFonts w:ascii="Bookman Old Style" w:hAnsi="Bookman Old Style"/>
          <w:b/>
          <w:bCs/>
          <w:i/>
          <w:iCs/>
          <w:sz w:val="28"/>
          <w:szCs w:val="28"/>
        </w:rPr>
        <w:t>K</w:t>
      </w:r>
      <w:r w:rsidR="00451923" w:rsidRPr="001D0A75">
        <w:rPr>
          <w:rFonts w:ascii="Bookman Old Style" w:hAnsi="Bookman Old Style"/>
          <w:b/>
          <w:bCs/>
          <w:i/>
          <w:iCs/>
          <w:sz w:val="28"/>
          <w:szCs w:val="28"/>
          <w:lang w:val="el-GR"/>
        </w:rPr>
        <w:t xml:space="preserve">. </w:t>
      </w:r>
      <w:r w:rsidR="00451923" w:rsidRPr="001D0A75">
        <w:rPr>
          <w:rFonts w:ascii="Bookman Old Style" w:hAnsi="Bookman Old Style"/>
          <w:b/>
          <w:bCs/>
          <w:i/>
          <w:iCs/>
          <w:sz w:val="28"/>
          <w:szCs w:val="28"/>
        </w:rPr>
        <w:t>Master</w:t>
      </w:r>
      <w:r w:rsidR="00451923" w:rsidRPr="001D0A75">
        <w:rPr>
          <w:rFonts w:ascii="Bookman Old Style" w:hAnsi="Bookman Old Style"/>
          <w:b/>
          <w:bCs/>
          <w:i/>
          <w:iCs/>
          <w:sz w:val="28"/>
          <w:szCs w:val="28"/>
          <w:lang w:val="el-GR"/>
        </w:rPr>
        <w:t xml:space="preserve"> </w:t>
      </w:r>
      <w:r w:rsidR="00451923" w:rsidRPr="001D0A75">
        <w:rPr>
          <w:rFonts w:ascii="Bookman Old Style" w:hAnsi="Bookman Old Style"/>
          <w:b/>
          <w:bCs/>
          <w:i/>
          <w:iCs/>
          <w:sz w:val="28"/>
          <w:szCs w:val="28"/>
        </w:rPr>
        <w:t>Developments</w:t>
      </w:r>
      <w:r w:rsidR="00451923" w:rsidRPr="001D0A75">
        <w:rPr>
          <w:rFonts w:ascii="Bookman Old Style" w:hAnsi="Bookman Old Style"/>
          <w:b/>
          <w:bCs/>
          <w:i/>
          <w:iCs/>
          <w:sz w:val="28"/>
          <w:szCs w:val="28"/>
          <w:lang w:val="el-GR"/>
        </w:rPr>
        <w:t xml:space="preserve"> </w:t>
      </w:r>
      <w:r w:rsidR="00451923" w:rsidRPr="001D0A75">
        <w:rPr>
          <w:rFonts w:ascii="Bookman Old Style" w:hAnsi="Bookman Old Style"/>
          <w:b/>
          <w:bCs/>
          <w:i/>
          <w:iCs/>
          <w:sz w:val="28"/>
          <w:szCs w:val="28"/>
        </w:rPr>
        <w:t>Ltd</w:t>
      </w:r>
      <w:r w:rsidR="00451923" w:rsidRPr="001D0A75">
        <w:rPr>
          <w:rFonts w:ascii="Bookman Old Style" w:hAnsi="Bookman Old Style"/>
          <w:b/>
          <w:bCs/>
          <w:i/>
          <w:iCs/>
          <w:sz w:val="28"/>
          <w:szCs w:val="28"/>
          <w:lang w:val="el-GR"/>
        </w:rPr>
        <w:t xml:space="preserve"> </w:t>
      </w:r>
      <w:r w:rsidR="00451923" w:rsidRPr="001D0A75">
        <w:rPr>
          <w:rFonts w:ascii="Bookman Old Style" w:hAnsi="Bookman Old Style"/>
          <w:b/>
          <w:bCs/>
          <w:i/>
          <w:iCs/>
          <w:sz w:val="28"/>
          <w:szCs w:val="28"/>
        </w:rPr>
        <w:t>v</w:t>
      </w:r>
      <w:r w:rsidR="00451923" w:rsidRPr="001D0A75">
        <w:rPr>
          <w:rFonts w:ascii="Bookman Old Style" w:hAnsi="Bookman Old Style"/>
          <w:b/>
          <w:bCs/>
          <w:i/>
          <w:iCs/>
          <w:sz w:val="28"/>
          <w:szCs w:val="28"/>
          <w:lang w:val="el-GR"/>
        </w:rPr>
        <w:t>. Κυρατζή κ.ά., Πολ. Έφ</w:t>
      </w:r>
      <w:r w:rsidR="001D0A75" w:rsidRPr="001D0A75">
        <w:rPr>
          <w:rFonts w:ascii="Bookman Old Style" w:hAnsi="Bookman Old Style"/>
          <w:b/>
          <w:bCs/>
          <w:i/>
          <w:iCs/>
          <w:sz w:val="28"/>
          <w:szCs w:val="28"/>
          <w:lang w:val="el-GR"/>
        </w:rPr>
        <w:t>.</w:t>
      </w:r>
      <w:r w:rsidR="00451923" w:rsidRPr="001D0A75">
        <w:rPr>
          <w:rFonts w:ascii="Bookman Old Style" w:hAnsi="Bookman Old Style"/>
          <w:b/>
          <w:bCs/>
          <w:i/>
          <w:iCs/>
          <w:sz w:val="28"/>
          <w:szCs w:val="28"/>
          <w:lang w:val="el-GR"/>
        </w:rPr>
        <w:t xml:space="preserve"> Αρ. 49/15, ημερ. 22.6.2023</w:t>
      </w:r>
      <w:r w:rsidR="00451923">
        <w:rPr>
          <w:rFonts w:ascii="Bookman Old Style" w:hAnsi="Bookman Old Style"/>
          <w:sz w:val="28"/>
          <w:szCs w:val="28"/>
          <w:lang w:val="el-GR"/>
        </w:rPr>
        <w:t>.</w:t>
      </w:r>
      <w:r w:rsidR="00451923" w:rsidRPr="002313F2">
        <w:rPr>
          <w:rFonts w:ascii="Bookman Old Style" w:hAnsi="Bookman Old Style"/>
          <w:sz w:val="28"/>
          <w:szCs w:val="28"/>
          <w:lang w:val="el-GR"/>
        </w:rPr>
        <w:t xml:space="preserve"> </w:t>
      </w:r>
    </w:p>
    <w:p w14:paraId="245FB2BA" w14:textId="008F34F0" w:rsidR="004D573C" w:rsidRPr="004D573C" w:rsidRDefault="00695AD6" w:rsidP="00695AD6">
      <w:pPr>
        <w:tabs>
          <w:tab w:val="left" w:pos="567"/>
        </w:tabs>
        <w:spacing w:before="100" w:beforeAutospacing="1" w:line="480" w:lineRule="auto"/>
        <w:jc w:val="both"/>
        <w:rPr>
          <w:rFonts w:ascii="Bookman Old Style" w:hAnsi="Bookman Old Style"/>
          <w:b/>
          <w:bCs/>
          <w:sz w:val="28"/>
          <w:szCs w:val="28"/>
          <w:lang w:val="el-GR"/>
        </w:rPr>
      </w:pPr>
      <w:r w:rsidRPr="004A51D9">
        <w:rPr>
          <w:rFonts w:ascii="Bookman Old Style" w:hAnsi="Bookman Old Style"/>
          <w:color w:val="000000"/>
          <w:sz w:val="28"/>
          <w:szCs w:val="28"/>
          <w:lang w:val="el-GR"/>
        </w:rPr>
        <w:tab/>
      </w:r>
      <w:r w:rsidR="00FC5750" w:rsidRPr="00F85E26">
        <w:rPr>
          <w:rFonts w:ascii="Bookman Old Style" w:hAnsi="Bookman Old Style"/>
          <w:color w:val="000000"/>
          <w:sz w:val="28"/>
          <w:szCs w:val="28"/>
          <w:lang w:val="el-GR"/>
        </w:rPr>
        <w:t xml:space="preserve">Όπως </w:t>
      </w:r>
      <w:r w:rsidR="00F85E26">
        <w:rPr>
          <w:rFonts w:ascii="Bookman Old Style" w:hAnsi="Bookman Old Style"/>
          <w:color w:val="000000"/>
          <w:sz w:val="28"/>
          <w:szCs w:val="28"/>
          <w:lang w:val="el-GR"/>
        </w:rPr>
        <w:t xml:space="preserve">αναφέρθηκε στην υπόθεση </w:t>
      </w:r>
      <w:r w:rsidR="00F85E26" w:rsidRPr="001D0A75">
        <w:rPr>
          <w:rFonts w:ascii="Bookman Old Style" w:hAnsi="Bookman Old Style"/>
          <w:b/>
          <w:bCs/>
          <w:i/>
          <w:iCs/>
          <w:color w:val="000000"/>
          <w:sz w:val="28"/>
          <w:szCs w:val="28"/>
          <w:lang w:val="el-GR"/>
        </w:rPr>
        <w:t xml:space="preserve">Τριφταρίδης </w:t>
      </w:r>
      <w:r w:rsidR="00F85E26" w:rsidRPr="001D0A75">
        <w:rPr>
          <w:rFonts w:ascii="Bookman Old Style" w:hAnsi="Bookman Old Style"/>
          <w:b/>
          <w:bCs/>
          <w:i/>
          <w:iCs/>
          <w:color w:val="000000"/>
          <w:sz w:val="28"/>
          <w:szCs w:val="28"/>
          <w:lang w:val="en-GB"/>
        </w:rPr>
        <w:t>v</w:t>
      </w:r>
      <w:r w:rsidR="00F85E26" w:rsidRPr="001D0A75">
        <w:rPr>
          <w:rFonts w:ascii="Bookman Old Style" w:hAnsi="Bookman Old Style"/>
          <w:b/>
          <w:bCs/>
          <w:i/>
          <w:iCs/>
          <w:color w:val="000000"/>
          <w:sz w:val="28"/>
          <w:szCs w:val="28"/>
          <w:lang w:val="el-GR"/>
        </w:rPr>
        <w:t xml:space="preserve">. </w:t>
      </w:r>
      <w:r w:rsidR="00F85E26" w:rsidRPr="001D0A75">
        <w:rPr>
          <w:rFonts w:ascii="Bookman Old Style" w:hAnsi="Bookman Old Style"/>
          <w:b/>
          <w:bCs/>
          <w:i/>
          <w:iCs/>
          <w:color w:val="000000"/>
          <w:sz w:val="28"/>
          <w:szCs w:val="28"/>
          <w:lang w:val="en-GB"/>
        </w:rPr>
        <w:t>Liu</w:t>
      </w:r>
      <w:r w:rsidR="00F85E26" w:rsidRPr="001D0A75">
        <w:rPr>
          <w:rFonts w:ascii="Bookman Old Style" w:hAnsi="Bookman Old Style"/>
          <w:b/>
          <w:bCs/>
          <w:i/>
          <w:iCs/>
          <w:color w:val="000000"/>
          <w:sz w:val="28"/>
          <w:szCs w:val="28"/>
          <w:lang w:val="el-GR"/>
        </w:rPr>
        <w:t xml:space="preserve"> (2016) 1(Γ) Α.Α.Δ. 2349</w:t>
      </w:r>
      <w:r w:rsidR="004D573C">
        <w:rPr>
          <w:rFonts w:ascii="Bookman Old Style" w:hAnsi="Bookman Old Style"/>
          <w:color w:val="000000"/>
          <w:sz w:val="28"/>
          <w:szCs w:val="28"/>
          <w:lang w:val="el-GR"/>
        </w:rPr>
        <w:t xml:space="preserve">, </w:t>
      </w:r>
      <w:r w:rsidR="004D573C">
        <w:rPr>
          <w:rFonts w:ascii="Bookman Old Style" w:hAnsi="Bookman Old Style"/>
          <w:spacing w:val="-3"/>
          <w:sz w:val="28"/>
          <w:szCs w:val="28"/>
          <w:lang w:val="el-GR"/>
        </w:rPr>
        <w:t>α</w:t>
      </w:r>
      <w:r w:rsidR="00F85E26" w:rsidRPr="004D573C">
        <w:rPr>
          <w:rFonts w:ascii="Bookman Old Style" w:hAnsi="Bookman Old Style"/>
          <w:spacing w:val="-3"/>
          <w:sz w:val="28"/>
          <w:szCs w:val="28"/>
          <w:lang w:val="el-GR"/>
        </w:rPr>
        <w:t xml:space="preserve">πό τη στιγμή που η κρίση του πρωτόδικου Δικαστηρίου επί της αξιοπιστίας των διαδίκων και των μαρτύρων τους δεν μολύνεται από λογικές ανακολουθίες ή αντιφατικές κρίσεις, το εύλογο ή μη των συμπερασμάτων και ευρημάτων του κρίνεται στην ολότητα της αξιολόγησης και όχι κατά </w:t>
      </w:r>
      <w:r w:rsidR="004D573C" w:rsidRPr="004D573C">
        <w:rPr>
          <w:rFonts w:ascii="Bookman Old Style" w:hAnsi="Bookman Old Style"/>
          <w:spacing w:val="-3"/>
          <w:sz w:val="28"/>
          <w:szCs w:val="28"/>
          <w:lang w:val="el-GR"/>
        </w:rPr>
        <w:t>απομονωμένο</w:t>
      </w:r>
      <w:r w:rsidR="00F85E26" w:rsidRPr="004D573C">
        <w:rPr>
          <w:rFonts w:ascii="Bookman Old Style" w:hAnsi="Bookman Old Style"/>
          <w:spacing w:val="-3"/>
          <w:sz w:val="28"/>
          <w:szCs w:val="28"/>
          <w:lang w:val="el-GR"/>
        </w:rPr>
        <w:t xml:space="preserve"> ή αποσπασματικό τρόπο</w:t>
      </w:r>
      <w:r w:rsidR="004D573C">
        <w:rPr>
          <w:rFonts w:ascii="Bookman Old Style" w:hAnsi="Bookman Old Style"/>
          <w:spacing w:val="-3"/>
          <w:sz w:val="28"/>
          <w:szCs w:val="28"/>
          <w:lang w:val="el-GR"/>
        </w:rPr>
        <w:t xml:space="preserve">. </w:t>
      </w:r>
    </w:p>
    <w:p w14:paraId="476B26DA" w14:textId="29F2AC39" w:rsidR="00480DBA" w:rsidRDefault="00695AD6" w:rsidP="00695AD6">
      <w:pPr>
        <w:tabs>
          <w:tab w:val="left" w:pos="567"/>
        </w:tabs>
        <w:spacing w:before="100" w:beforeAutospacing="1" w:line="480" w:lineRule="auto"/>
        <w:jc w:val="both"/>
        <w:rPr>
          <w:rFonts w:ascii="Bookman Old Style" w:hAnsi="Bookman Old Style"/>
          <w:sz w:val="28"/>
          <w:szCs w:val="28"/>
          <w:lang w:val="el-GR"/>
        </w:rPr>
      </w:pPr>
      <w:r>
        <w:rPr>
          <w:rFonts w:ascii="Bookman Old Style" w:hAnsi="Bookman Old Style"/>
          <w:sz w:val="28"/>
          <w:szCs w:val="28"/>
          <w:lang w:val="el-GR"/>
        </w:rPr>
        <w:tab/>
      </w:r>
      <w:r w:rsidR="00480DBA">
        <w:rPr>
          <w:rFonts w:ascii="Bookman Old Style" w:hAnsi="Bookman Old Style"/>
          <w:sz w:val="28"/>
          <w:szCs w:val="28"/>
          <w:lang w:val="el-GR"/>
        </w:rPr>
        <w:t xml:space="preserve">Κρίνουμε σκόπιμο να επισημάνουμε εξαρχής ότι στα πλαίσια της ακρόασης της Αγωγής, οι Εφεσείοντες προώθησαν τη θέση πως ο ΚΚ </w:t>
      </w:r>
      <w:r w:rsidR="00480DBA">
        <w:rPr>
          <w:rFonts w:ascii="Bookman Old Style" w:hAnsi="Bookman Old Style"/>
          <w:sz w:val="28"/>
          <w:szCs w:val="28"/>
          <w:lang w:val="el-GR"/>
        </w:rPr>
        <w:lastRenderedPageBreak/>
        <w:t xml:space="preserve">ήταν το συμβαλλόμενο μέρος για όλα τα εισιτήρια και ουδόλως τέθηκε ισχυρισμός </w:t>
      </w:r>
      <w:r w:rsidR="00CC5D87">
        <w:rPr>
          <w:rFonts w:ascii="Bookman Old Style" w:hAnsi="Bookman Old Style"/>
          <w:sz w:val="28"/>
          <w:szCs w:val="28"/>
          <w:lang w:val="el-GR"/>
        </w:rPr>
        <w:t xml:space="preserve">είτε ότι συμβαλλόμενο μέρος ήταν και η εταιρεία είτε </w:t>
      </w:r>
      <w:r w:rsidR="00480DBA">
        <w:rPr>
          <w:rFonts w:ascii="Bookman Old Style" w:hAnsi="Bookman Old Style"/>
          <w:sz w:val="28"/>
          <w:szCs w:val="28"/>
          <w:lang w:val="el-GR"/>
        </w:rPr>
        <w:t xml:space="preserve">για διαχωρισμό των εισιτηρίων του ιδίου και της οικογένειας του από τη μια και αυτών της εταιρείας από την άλλη.  </w:t>
      </w:r>
    </w:p>
    <w:p w14:paraId="3BDE6EFE" w14:textId="6EF4942B" w:rsidR="0093366E" w:rsidRPr="00360AC5" w:rsidRDefault="00480DBA" w:rsidP="00695AD6">
      <w:pPr>
        <w:tabs>
          <w:tab w:val="left" w:pos="567"/>
        </w:tabs>
        <w:spacing w:before="100" w:beforeAutospacing="1" w:line="480" w:lineRule="auto"/>
        <w:jc w:val="both"/>
        <w:rPr>
          <w:rFonts w:ascii="Bookman Old Style" w:eastAsia="Times New Roman" w:hAnsi="Bookman Old Style" w:cs="Times New Roman"/>
          <w:color w:val="000000"/>
          <w:kern w:val="0"/>
          <w:sz w:val="28"/>
          <w:szCs w:val="28"/>
          <w:lang w:val="el-GR"/>
          <w14:ligatures w14:val="none"/>
        </w:rPr>
      </w:pPr>
      <w:r>
        <w:rPr>
          <w:rFonts w:ascii="Bookman Old Style" w:hAnsi="Bookman Old Style"/>
          <w:sz w:val="28"/>
          <w:szCs w:val="28"/>
          <w:lang w:val="el-GR"/>
        </w:rPr>
        <w:tab/>
      </w:r>
      <w:r w:rsidR="000D31DB">
        <w:rPr>
          <w:rFonts w:ascii="Bookman Old Style" w:hAnsi="Bookman Old Style"/>
          <w:sz w:val="28"/>
          <w:szCs w:val="28"/>
          <w:lang w:val="el-GR"/>
        </w:rPr>
        <w:t xml:space="preserve">Στην </w:t>
      </w:r>
      <w:r w:rsidR="00360AC5">
        <w:rPr>
          <w:rFonts w:ascii="Bookman Old Style" w:hAnsi="Bookman Old Style"/>
          <w:sz w:val="28"/>
          <w:szCs w:val="28"/>
          <w:lang w:val="el-GR"/>
        </w:rPr>
        <w:t xml:space="preserve">υπό κρίση </w:t>
      </w:r>
      <w:r w:rsidR="000D31DB">
        <w:rPr>
          <w:rFonts w:ascii="Bookman Old Style" w:hAnsi="Bookman Old Style"/>
          <w:sz w:val="28"/>
          <w:szCs w:val="28"/>
          <w:lang w:val="el-GR"/>
        </w:rPr>
        <w:t>απόφαση το πρωτόδικο Δικαστήριο δεν δέχθηκε ως αξιόπιστη τη μαρτυρία του πρώτου μάρτυρος των Εφεσειόντων (ΜΕ1), ιδιοκτήτη και γενικού διευθυντή των Εφεσειόντω</w:t>
      </w:r>
      <w:r w:rsidR="00EF65C0">
        <w:rPr>
          <w:rFonts w:ascii="Bookman Old Style" w:hAnsi="Bookman Old Style"/>
          <w:sz w:val="28"/>
          <w:szCs w:val="28"/>
          <w:lang w:val="el-GR"/>
        </w:rPr>
        <w:t>ν</w:t>
      </w:r>
      <w:r w:rsidR="008D7874">
        <w:rPr>
          <w:rFonts w:ascii="Bookman Old Style" w:hAnsi="Bookman Old Style"/>
          <w:sz w:val="28"/>
          <w:szCs w:val="28"/>
          <w:lang w:val="el-GR"/>
        </w:rPr>
        <w:t>.</w:t>
      </w:r>
      <w:r w:rsidR="00B35CCB" w:rsidRPr="00B35CCB">
        <w:rPr>
          <w:rFonts w:ascii="Bookman Old Style" w:hAnsi="Bookman Old Style"/>
          <w:sz w:val="28"/>
          <w:szCs w:val="28"/>
          <w:lang w:val="el-GR"/>
        </w:rPr>
        <w:t xml:space="preserve"> </w:t>
      </w:r>
      <w:r w:rsidR="0084094F">
        <w:rPr>
          <w:rFonts w:ascii="Bookman Old Style" w:hAnsi="Bookman Old Style"/>
          <w:sz w:val="28"/>
          <w:szCs w:val="28"/>
          <w:lang w:val="el-GR"/>
        </w:rPr>
        <w:t xml:space="preserve">Η βασική </w:t>
      </w:r>
      <w:r w:rsidR="0093366E">
        <w:rPr>
          <w:rFonts w:ascii="Bookman Old Style" w:hAnsi="Bookman Old Style"/>
          <w:sz w:val="28"/>
          <w:szCs w:val="28"/>
          <w:lang w:val="el-GR"/>
        </w:rPr>
        <w:t xml:space="preserve">εκδοχή του ΜΕ1 </w:t>
      </w:r>
      <w:r w:rsidR="0084094F">
        <w:rPr>
          <w:rFonts w:ascii="Bookman Old Style" w:hAnsi="Bookman Old Style"/>
          <w:sz w:val="28"/>
          <w:szCs w:val="28"/>
          <w:lang w:val="el-GR"/>
        </w:rPr>
        <w:t xml:space="preserve">ήταν </w:t>
      </w:r>
      <w:r w:rsidR="0093366E">
        <w:rPr>
          <w:rFonts w:ascii="Bookman Old Style" w:hAnsi="Bookman Old Style"/>
          <w:sz w:val="28"/>
          <w:szCs w:val="28"/>
          <w:lang w:val="el-GR"/>
        </w:rPr>
        <w:t>πως</w:t>
      </w:r>
      <w:r w:rsidR="005E6985">
        <w:rPr>
          <w:rFonts w:ascii="Bookman Old Style" w:hAnsi="Bookman Old Style"/>
          <w:sz w:val="28"/>
          <w:szCs w:val="28"/>
          <w:lang w:val="el-GR"/>
        </w:rPr>
        <w:t xml:space="preserve"> </w:t>
      </w:r>
      <w:r w:rsidR="009D6197">
        <w:rPr>
          <w:rFonts w:ascii="Bookman Old Style" w:hAnsi="Bookman Old Style"/>
          <w:sz w:val="28"/>
          <w:szCs w:val="28"/>
          <w:lang w:val="el-GR"/>
        </w:rPr>
        <w:t xml:space="preserve">οι Εφεσείοντες συναλλάσσονταν </w:t>
      </w:r>
      <w:r w:rsidR="00911DF4">
        <w:rPr>
          <w:rFonts w:ascii="Bookman Old Style" w:hAnsi="Bookman Old Style"/>
          <w:sz w:val="28"/>
          <w:szCs w:val="28"/>
          <w:lang w:val="el-GR"/>
        </w:rPr>
        <w:t xml:space="preserve">αποκλειστικά </w:t>
      </w:r>
      <w:r w:rsidR="009D6197">
        <w:rPr>
          <w:rFonts w:ascii="Bookman Old Style" w:hAnsi="Bookman Old Style"/>
          <w:sz w:val="28"/>
          <w:szCs w:val="28"/>
          <w:lang w:val="el-GR"/>
        </w:rPr>
        <w:t>με τον αποβιώσαντα (ΚΚ), με τον οποίο ήταν φίλοι και κουμπάροι, για όλες τις αγορές εισιτηρίων</w:t>
      </w:r>
      <w:r w:rsidR="0093366E">
        <w:rPr>
          <w:rFonts w:ascii="Bookman Old Style" w:hAnsi="Bookman Old Style"/>
          <w:sz w:val="28"/>
          <w:szCs w:val="28"/>
          <w:lang w:val="el-GR"/>
        </w:rPr>
        <w:t>.</w:t>
      </w:r>
      <w:r w:rsidR="0084094F">
        <w:rPr>
          <w:rFonts w:ascii="Bookman Old Style" w:hAnsi="Bookman Old Style"/>
          <w:sz w:val="28"/>
          <w:szCs w:val="28"/>
          <w:lang w:val="el-GR"/>
        </w:rPr>
        <w:t xml:space="preserve"> Ο ΜΕ1 κατέθεσε κατάσταση λογαριασμού</w:t>
      </w:r>
      <w:r w:rsidR="00EE5762">
        <w:rPr>
          <w:rFonts w:ascii="Bookman Old Style" w:hAnsi="Bookman Old Style"/>
          <w:sz w:val="28"/>
          <w:szCs w:val="28"/>
          <w:lang w:val="el-GR"/>
        </w:rPr>
        <w:t xml:space="preserve"> </w:t>
      </w:r>
      <w:r w:rsidR="0084094F">
        <w:rPr>
          <w:rFonts w:ascii="Bookman Old Style" w:hAnsi="Bookman Old Style"/>
          <w:sz w:val="28"/>
          <w:szCs w:val="28"/>
          <w:lang w:val="el-GR"/>
        </w:rPr>
        <w:t>των Εφεσειόντων</w:t>
      </w:r>
      <w:r w:rsidR="00272FBE">
        <w:rPr>
          <w:rFonts w:ascii="Bookman Old Style" w:hAnsi="Bookman Old Style"/>
          <w:sz w:val="28"/>
          <w:szCs w:val="28"/>
          <w:lang w:val="el-GR"/>
        </w:rPr>
        <w:t xml:space="preserve">, Τεκμήριο 4, </w:t>
      </w:r>
      <w:r w:rsidR="0084094F">
        <w:rPr>
          <w:rFonts w:ascii="Bookman Old Style" w:hAnsi="Bookman Old Style"/>
          <w:sz w:val="28"/>
          <w:szCs w:val="28"/>
          <w:lang w:val="el-GR"/>
        </w:rPr>
        <w:t>στο όνομα «</w:t>
      </w:r>
      <w:r w:rsidR="0084094F">
        <w:rPr>
          <w:rFonts w:ascii="Bookman Old Style" w:hAnsi="Bookman Old Style"/>
          <w:sz w:val="28"/>
          <w:szCs w:val="28"/>
        </w:rPr>
        <w:t>Costas</w:t>
      </w:r>
      <w:r w:rsidR="0084094F" w:rsidRPr="0084094F">
        <w:rPr>
          <w:rFonts w:ascii="Bookman Old Style" w:hAnsi="Bookman Old Style"/>
          <w:sz w:val="28"/>
          <w:szCs w:val="28"/>
          <w:lang w:val="el-GR"/>
        </w:rPr>
        <w:t xml:space="preserve"> </w:t>
      </w:r>
      <w:r w:rsidR="0084094F">
        <w:rPr>
          <w:rFonts w:ascii="Bookman Old Style" w:hAnsi="Bookman Old Style"/>
          <w:sz w:val="28"/>
          <w:szCs w:val="28"/>
        </w:rPr>
        <w:t>Constantinides</w:t>
      </w:r>
      <w:r w:rsidR="0084094F" w:rsidRPr="0084094F">
        <w:rPr>
          <w:rFonts w:ascii="Bookman Old Style" w:hAnsi="Bookman Old Style"/>
          <w:sz w:val="28"/>
          <w:szCs w:val="28"/>
          <w:lang w:val="el-GR"/>
        </w:rPr>
        <w:t xml:space="preserve"> &amp; </w:t>
      </w:r>
      <w:r w:rsidR="0084094F">
        <w:rPr>
          <w:rFonts w:ascii="Bookman Old Style" w:hAnsi="Bookman Old Style"/>
          <w:sz w:val="28"/>
          <w:szCs w:val="28"/>
        </w:rPr>
        <w:t>or</w:t>
      </w:r>
      <w:r w:rsidR="0084094F" w:rsidRPr="0084094F">
        <w:rPr>
          <w:rFonts w:ascii="Bookman Old Style" w:hAnsi="Bookman Old Style"/>
          <w:sz w:val="28"/>
          <w:szCs w:val="28"/>
          <w:lang w:val="el-GR"/>
        </w:rPr>
        <w:t xml:space="preserve"> </w:t>
      </w:r>
      <w:r w:rsidR="0084094F">
        <w:rPr>
          <w:rFonts w:ascii="Bookman Old Style" w:hAnsi="Bookman Old Style"/>
          <w:sz w:val="28"/>
          <w:szCs w:val="28"/>
        </w:rPr>
        <w:t>Cozaco</w:t>
      </w:r>
      <w:r w:rsidR="0084094F" w:rsidRPr="0084094F">
        <w:rPr>
          <w:rFonts w:ascii="Bookman Old Style" w:hAnsi="Bookman Old Style"/>
          <w:sz w:val="28"/>
          <w:szCs w:val="28"/>
          <w:lang w:val="el-GR"/>
        </w:rPr>
        <w:t xml:space="preserve"> </w:t>
      </w:r>
      <w:r w:rsidR="0084094F">
        <w:rPr>
          <w:rFonts w:ascii="Bookman Old Style" w:hAnsi="Bookman Old Style"/>
          <w:sz w:val="28"/>
          <w:szCs w:val="28"/>
        </w:rPr>
        <w:t>Trading</w:t>
      </w:r>
      <w:r w:rsidR="0084094F" w:rsidRPr="0084094F">
        <w:rPr>
          <w:rFonts w:ascii="Bookman Old Style" w:hAnsi="Bookman Old Style"/>
          <w:sz w:val="28"/>
          <w:szCs w:val="28"/>
          <w:lang w:val="el-GR"/>
        </w:rPr>
        <w:t xml:space="preserve"> &amp; </w:t>
      </w:r>
      <w:r w:rsidR="0084094F">
        <w:rPr>
          <w:rFonts w:ascii="Bookman Old Style" w:hAnsi="Bookman Old Style"/>
          <w:sz w:val="28"/>
          <w:szCs w:val="28"/>
        </w:rPr>
        <w:t>Services</w:t>
      </w:r>
      <w:r w:rsidR="0084094F" w:rsidRPr="0084094F">
        <w:rPr>
          <w:rFonts w:ascii="Bookman Old Style" w:hAnsi="Bookman Old Style"/>
          <w:sz w:val="28"/>
          <w:szCs w:val="28"/>
          <w:lang w:val="el-GR"/>
        </w:rPr>
        <w:t xml:space="preserve"> </w:t>
      </w:r>
      <w:r w:rsidR="0084094F">
        <w:rPr>
          <w:rFonts w:ascii="Bookman Old Style" w:hAnsi="Bookman Old Style"/>
          <w:sz w:val="28"/>
          <w:szCs w:val="28"/>
        </w:rPr>
        <w:t>Ltd</w:t>
      </w:r>
      <w:r w:rsidR="0084094F">
        <w:rPr>
          <w:rFonts w:ascii="Bookman Old Style" w:hAnsi="Bookman Old Style"/>
          <w:sz w:val="28"/>
          <w:szCs w:val="28"/>
          <w:lang w:val="el-GR"/>
        </w:rPr>
        <w:t>»</w:t>
      </w:r>
      <w:r w:rsidR="007A1658" w:rsidRPr="007A1658">
        <w:rPr>
          <w:rFonts w:ascii="Bookman Old Style" w:hAnsi="Bookman Old Style"/>
          <w:sz w:val="28"/>
          <w:szCs w:val="28"/>
          <w:lang w:val="el-GR"/>
        </w:rPr>
        <w:t xml:space="preserve"> </w:t>
      </w:r>
      <w:r w:rsidR="007A1658">
        <w:rPr>
          <w:rFonts w:ascii="Bookman Old Style" w:hAnsi="Bookman Old Style"/>
          <w:sz w:val="28"/>
          <w:szCs w:val="28"/>
          <w:lang w:val="el-GR"/>
        </w:rPr>
        <w:t>στην οποία, όπως εξήγησε, περιλαμβάνονται εισιτήρια τόσο για τους επαγγελματικούς σκοπούς της εταιρείας όσο και του ίδιου του ΚΚ και των μελών της οικογένειας του</w:t>
      </w:r>
      <w:r w:rsidR="0084094F">
        <w:rPr>
          <w:rFonts w:ascii="Bookman Old Style" w:hAnsi="Bookman Old Style"/>
          <w:sz w:val="28"/>
          <w:szCs w:val="28"/>
          <w:lang w:val="el-GR"/>
        </w:rPr>
        <w:t xml:space="preserve">. Ο ΜΕ1 ισχυρίστηκε επίσης ότι </w:t>
      </w:r>
      <w:r w:rsidR="000062F3">
        <w:rPr>
          <w:rFonts w:ascii="Bookman Old Style" w:hAnsi="Bookman Old Style"/>
          <w:sz w:val="28"/>
          <w:szCs w:val="28"/>
          <w:lang w:val="el-GR"/>
        </w:rPr>
        <w:t xml:space="preserve">για κάθε εισιτήριο εξέδιδε τιμολόγιο και </w:t>
      </w:r>
      <w:r w:rsidR="009E41E0">
        <w:rPr>
          <w:rFonts w:ascii="Bookman Old Style" w:hAnsi="Bookman Old Style"/>
          <w:sz w:val="28"/>
          <w:szCs w:val="28"/>
          <w:lang w:val="el-GR"/>
        </w:rPr>
        <w:t>όταν ο</w:t>
      </w:r>
      <w:r w:rsidR="0084094F">
        <w:rPr>
          <w:rFonts w:ascii="Bookman Old Style" w:hAnsi="Bookman Old Style"/>
          <w:sz w:val="28"/>
          <w:szCs w:val="28"/>
          <w:lang w:val="el-GR"/>
        </w:rPr>
        <w:t xml:space="preserve"> ΚΚ πλήρωνε με προσωπικές του επιταγές</w:t>
      </w:r>
      <w:r w:rsidR="009E41E0">
        <w:rPr>
          <w:rFonts w:ascii="Bookman Old Style" w:hAnsi="Bookman Old Style"/>
          <w:sz w:val="28"/>
          <w:szCs w:val="28"/>
          <w:lang w:val="el-GR"/>
        </w:rPr>
        <w:t>, το</w:t>
      </w:r>
      <w:r w:rsidR="00961480">
        <w:rPr>
          <w:rFonts w:ascii="Bookman Old Style" w:hAnsi="Bookman Old Style"/>
          <w:sz w:val="28"/>
          <w:szCs w:val="28"/>
          <w:lang w:val="el-GR"/>
        </w:rPr>
        <w:t>υ</w:t>
      </w:r>
      <w:r w:rsidR="009E41E0">
        <w:rPr>
          <w:rFonts w:ascii="Bookman Old Style" w:hAnsi="Bookman Old Style"/>
          <w:sz w:val="28"/>
          <w:szCs w:val="28"/>
          <w:lang w:val="el-GR"/>
        </w:rPr>
        <w:t xml:space="preserve"> ζητούσε</w:t>
      </w:r>
      <w:r w:rsidR="0084094F">
        <w:rPr>
          <w:rFonts w:ascii="Bookman Old Style" w:hAnsi="Bookman Old Style"/>
          <w:sz w:val="28"/>
          <w:szCs w:val="28"/>
          <w:lang w:val="el-GR"/>
        </w:rPr>
        <w:t xml:space="preserve"> </w:t>
      </w:r>
      <w:r w:rsidR="0096033C">
        <w:rPr>
          <w:rFonts w:ascii="Bookman Old Style" w:hAnsi="Bookman Old Style"/>
          <w:sz w:val="28"/>
          <w:szCs w:val="28"/>
          <w:lang w:val="el-GR"/>
        </w:rPr>
        <w:t xml:space="preserve">να μην </w:t>
      </w:r>
      <w:r w:rsidR="009E41E0">
        <w:rPr>
          <w:rFonts w:ascii="Bookman Old Style" w:hAnsi="Bookman Old Style"/>
          <w:sz w:val="28"/>
          <w:szCs w:val="28"/>
          <w:lang w:val="el-GR"/>
        </w:rPr>
        <w:t xml:space="preserve">τις </w:t>
      </w:r>
      <w:r w:rsidR="0096033C">
        <w:rPr>
          <w:rFonts w:ascii="Bookman Old Style" w:hAnsi="Bookman Old Style"/>
          <w:sz w:val="28"/>
          <w:szCs w:val="28"/>
          <w:lang w:val="el-GR"/>
        </w:rPr>
        <w:t xml:space="preserve">καταθέτει πριν του επιβεβαιώσει ότι αυτές θα μπορούσαν να τιμηθούν. </w:t>
      </w:r>
      <w:r w:rsidR="009E41E0">
        <w:rPr>
          <w:rFonts w:ascii="Bookman Old Style" w:hAnsi="Bookman Old Style"/>
          <w:sz w:val="28"/>
          <w:szCs w:val="28"/>
          <w:lang w:val="el-GR"/>
        </w:rPr>
        <w:t xml:space="preserve">Προς τούτο </w:t>
      </w:r>
      <w:r w:rsidR="00961480">
        <w:rPr>
          <w:rFonts w:ascii="Bookman Old Style" w:hAnsi="Bookman Old Style"/>
          <w:sz w:val="28"/>
          <w:szCs w:val="28"/>
          <w:lang w:val="el-GR"/>
        </w:rPr>
        <w:t xml:space="preserve">ο ΜΕ1 κατέθεσε </w:t>
      </w:r>
      <w:r w:rsidR="009E41E0">
        <w:rPr>
          <w:rFonts w:ascii="Bookman Old Style" w:hAnsi="Bookman Old Style"/>
          <w:sz w:val="28"/>
          <w:szCs w:val="28"/>
          <w:lang w:val="el-GR"/>
        </w:rPr>
        <w:t xml:space="preserve">δέσμη 14 τέτοιων επιταγών, Τεκμήριο 5, τις οποίες όμως </w:t>
      </w:r>
      <w:r w:rsidR="009E41E0">
        <w:rPr>
          <w:rFonts w:ascii="Bookman Old Style" w:hAnsi="Bookman Old Style"/>
          <w:sz w:val="28"/>
          <w:szCs w:val="28"/>
        </w:rPr>
        <w:t>o</w:t>
      </w:r>
      <w:r w:rsidR="009E41E0" w:rsidRPr="00785A5D">
        <w:rPr>
          <w:rFonts w:ascii="Bookman Old Style" w:hAnsi="Bookman Old Style"/>
          <w:sz w:val="28"/>
          <w:szCs w:val="28"/>
          <w:lang w:val="el-GR"/>
        </w:rPr>
        <w:t xml:space="preserve"> </w:t>
      </w:r>
      <w:r w:rsidR="009E41E0">
        <w:rPr>
          <w:rFonts w:ascii="Bookman Old Style" w:hAnsi="Bookman Old Style"/>
          <w:sz w:val="28"/>
          <w:szCs w:val="28"/>
          <w:lang w:val="el-GR"/>
        </w:rPr>
        <w:t xml:space="preserve">ΚΚ του είχε ζητήσει </w:t>
      </w:r>
      <w:r w:rsidR="008C1740">
        <w:rPr>
          <w:rFonts w:ascii="Bookman Old Style" w:hAnsi="Bookman Old Style"/>
          <w:sz w:val="28"/>
          <w:szCs w:val="28"/>
          <w:lang w:val="el-GR"/>
        </w:rPr>
        <w:t xml:space="preserve">να μην καταθέσει λόγω κάποιων </w:t>
      </w:r>
      <w:r w:rsidR="008C1740">
        <w:rPr>
          <w:rFonts w:ascii="Bookman Old Style" w:hAnsi="Bookman Old Style"/>
          <w:sz w:val="28"/>
          <w:szCs w:val="28"/>
          <w:lang w:val="el-GR"/>
        </w:rPr>
        <w:lastRenderedPageBreak/>
        <w:t>προβλημάτων που αντιμετώπιζε. Σ</w:t>
      </w:r>
      <w:r w:rsidR="0096033C">
        <w:rPr>
          <w:rFonts w:ascii="Bookman Old Style" w:hAnsi="Bookman Old Style"/>
          <w:sz w:val="28"/>
          <w:szCs w:val="28"/>
          <w:lang w:val="el-GR"/>
        </w:rPr>
        <w:t xml:space="preserve">ύμφωνα </w:t>
      </w:r>
      <w:r w:rsidR="008C1740">
        <w:rPr>
          <w:rFonts w:ascii="Bookman Old Style" w:hAnsi="Bookman Old Style"/>
          <w:sz w:val="28"/>
          <w:szCs w:val="28"/>
          <w:lang w:val="el-GR"/>
        </w:rPr>
        <w:t xml:space="preserve">πάντα </w:t>
      </w:r>
      <w:r w:rsidR="0096033C">
        <w:rPr>
          <w:rFonts w:ascii="Bookman Old Style" w:hAnsi="Bookman Old Style"/>
          <w:sz w:val="28"/>
          <w:szCs w:val="28"/>
          <w:lang w:val="el-GR"/>
        </w:rPr>
        <w:t>με τον ΜΕ1, οι εν λόγω</w:t>
      </w:r>
      <w:r w:rsidR="0027315C" w:rsidRPr="0027315C">
        <w:rPr>
          <w:rFonts w:ascii="Bookman Old Style" w:hAnsi="Bookman Old Style"/>
          <w:sz w:val="28"/>
          <w:szCs w:val="28"/>
          <w:lang w:val="el-GR"/>
        </w:rPr>
        <w:t xml:space="preserve"> </w:t>
      </w:r>
      <w:r w:rsidR="0096033C">
        <w:rPr>
          <w:rFonts w:ascii="Bookman Old Style" w:hAnsi="Bookman Old Style"/>
          <w:sz w:val="28"/>
          <w:szCs w:val="28"/>
          <w:lang w:val="el-GR"/>
        </w:rPr>
        <w:t xml:space="preserve">επιταγές </w:t>
      </w:r>
      <w:r w:rsidR="0084094F">
        <w:rPr>
          <w:rFonts w:ascii="Bookman Old Style" w:hAnsi="Bookman Old Style"/>
          <w:sz w:val="28"/>
          <w:szCs w:val="28"/>
          <w:lang w:val="el-GR"/>
        </w:rPr>
        <w:t xml:space="preserve">τελικώς δεν κατατέθηκαν στην Τράπεζα, πλην όμως είχαν εκδοθεί σχετικές αποδείξεις πληρωμής </w:t>
      </w:r>
      <w:r w:rsidR="00B35CCB">
        <w:rPr>
          <w:rFonts w:ascii="Bookman Old Style" w:hAnsi="Bookman Old Style"/>
          <w:sz w:val="28"/>
          <w:szCs w:val="28"/>
          <w:lang w:val="el-GR"/>
        </w:rPr>
        <w:t>στο όνομα της εναγομένης 3</w:t>
      </w:r>
      <w:r w:rsidR="00292CC1">
        <w:rPr>
          <w:rFonts w:ascii="Bookman Old Style" w:hAnsi="Bookman Old Style"/>
          <w:sz w:val="28"/>
          <w:szCs w:val="28"/>
          <w:lang w:val="el-GR"/>
        </w:rPr>
        <w:t xml:space="preserve"> </w:t>
      </w:r>
      <w:r w:rsidR="0084094F">
        <w:rPr>
          <w:rFonts w:ascii="Bookman Old Style" w:hAnsi="Bookman Old Style"/>
          <w:sz w:val="28"/>
          <w:szCs w:val="28"/>
          <w:lang w:val="el-GR"/>
        </w:rPr>
        <w:t xml:space="preserve">οι οποίες κατατέθηκαν </w:t>
      </w:r>
      <w:r w:rsidR="00360AC5">
        <w:rPr>
          <w:rFonts w:ascii="Bookman Old Style" w:hAnsi="Bookman Old Style"/>
          <w:sz w:val="28"/>
          <w:szCs w:val="28"/>
          <w:lang w:val="el-GR"/>
        </w:rPr>
        <w:t>ως Τεκμήριο 7</w:t>
      </w:r>
      <w:r w:rsidR="008738F7" w:rsidRPr="008738F7">
        <w:rPr>
          <w:rFonts w:ascii="Bookman Old Style" w:hAnsi="Bookman Old Style"/>
          <w:sz w:val="28"/>
          <w:szCs w:val="28"/>
          <w:lang w:val="el-GR"/>
        </w:rPr>
        <w:t xml:space="preserve"> </w:t>
      </w:r>
      <w:r w:rsidR="0084094F">
        <w:rPr>
          <w:rFonts w:ascii="Bookman Old Style" w:hAnsi="Bookman Old Style"/>
          <w:sz w:val="28"/>
          <w:szCs w:val="28"/>
          <w:lang w:val="el-GR"/>
        </w:rPr>
        <w:t>από την εναγομένη 1 (ΜΥ1),</w:t>
      </w:r>
      <w:r w:rsidR="00360AC5">
        <w:rPr>
          <w:rFonts w:ascii="Bookman Old Style" w:hAnsi="Bookman Old Style"/>
          <w:sz w:val="28"/>
          <w:szCs w:val="28"/>
          <w:lang w:val="el-GR"/>
        </w:rPr>
        <w:t xml:space="preserve"> σύζυγο του αποβιώσαντος ΚΚ</w:t>
      </w:r>
      <w:r w:rsidR="0084094F">
        <w:rPr>
          <w:rFonts w:ascii="Bookman Old Style" w:hAnsi="Bookman Old Style"/>
          <w:sz w:val="28"/>
          <w:szCs w:val="28"/>
          <w:lang w:val="el-GR"/>
        </w:rPr>
        <w:t xml:space="preserve">. </w:t>
      </w:r>
    </w:p>
    <w:p w14:paraId="7C32C69D" w14:textId="0FE7D324" w:rsidR="00A61B57" w:rsidRDefault="006638D2" w:rsidP="00695AD6">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Κατά την </w:t>
      </w:r>
      <w:r w:rsidR="001D0B28">
        <w:rPr>
          <w:rFonts w:ascii="Bookman Old Style" w:hAnsi="Bookman Old Style"/>
          <w:sz w:val="28"/>
          <w:szCs w:val="28"/>
          <w:lang w:val="el-GR"/>
        </w:rPr>
        <w:t>αξιολόγηση της μαρτυρίας, τ</w:t>
      </w:r>
      <w:r w:rsidR="00D86390">
        <w:rPr>
          <w:rFonts w:ascii="Bookman Old Style" w:hAnsi="Bookman Old Style"/>
          <w:sz w:val="28"/>
          <w:szCs w:val="28"/>
          <w:lang w:val="el-GR"/>
        </w:rPr>
        <w:t>ο πρωτόδικο Δικαστήριο αναφέρθηκε εκτενώς στη μαρτυρία του ΜΕ1</w:t>
      </w:r>
      <w:r w:rsidR="00714FD1">
        <w:rPr>
          <w:rFonts w:ascii="Bookman Old Style" w:hAnsi="Bookman Old Style"/>
          <w:sz w:val="28"/>
          <w:szCs w:val="28"/>
          <w:lang w:val="el-GR"/>
        </w:rPr>
        <w:t xml:space="preserve">, επισημαίνοντας </w:t>
      </w:r>
      <w:r w:rsidR="00BB622F">
        <w:rPr>
          <w:rFonts w:ascii="Bookman Old Style" w:hAnsi="Bookman Old Style"/>
          <w:sz w:val="28"/>
          <w:szCs w:val="28"/>
          <w:lang w:val="el-GR"/>
        </w:rPr>
        <w:t xml:space="preserve">πως αυτή χαρακτηρίζεται από </w:t>
      </w:r>
      <w:r w:rsidR="00714FD1">
        <w:rPr>
          <w:rFonts w:ascii="Bookman Old Style" w:hAnsi="Bookman Old Style"/>
          <w:sz w:val="28"/>
          <w:szCs w:val="28"/>
          <w:lang w:val="el-GR"/>
        </w:rPr>
        <w:t>αντιφάσεις μεταξύ της κυρίως εξέτασης και της αντεξέτασης του</w:t>
      </w:r>
      <w:r w:rsidR="001F0173">
        <w:rPr>
          <w:rFonts w:ascii="Bookman Old Style" w:hAnsi="Bookman Old Style"/>
          <w:sz w:val="28"/>
          <w:szCs w:val="28"/>
          <w:lang w:val="el-GR"/>
        </w:rPr>
        <w:t xml:space="preserve"> και </w:t>
      </w:r>
      <w:r w:rsidR="00714FD1">
        <w:rPr>
          <w:rFonts w:ascii="Bookman Old Style" w:hAnsi="Bookman Old Style"/>
          <w:sz w:val="28"/>
          <w:szCs w:val="28"/>
          <w:lang w:val="el-GR"/>
        </w:rPr>
        <w:t>προβολή ατεκμηρίωτων και μη πειστικών ή λογικών θέσεων</w:t>
      </w:r>
      <w:r w:rsidR="001F0173">
        <w:rPr>
          <w:rFonts w:ascii="Bookman Old Style" w:hAnsi="Bookman Old Style"/>
          <w:sz w:val="28"/>
          <w:szCs w:val="28"/>
          <w:lang w:val="el-GR"/>
        </w:rPr>
        <w:t>.</w:t>
      </w:r>
      <w:r w:rsidR="00714FD1">
        <w:rPr>
          <w:rFonts w:ascii="Bookman Old Style" w:hAnsi="Bookman Old Style"/>
          <w:sz w:val="28"/>
          <w:szCs w:val="28"/>
          <w:lang w:val="el-GR"/>
        </w:rPr>
        <w:t xml:space="preserve"> </w:t>
      </w:r>
      <w:r w:rsidR="00A61B57">
        <w:rPr>
          <w:rFonts w:ascii="Bookman Old Style" w:hAnsi="Bookman Old Style"/>
          <w:sz w:val="28"/>
          <w:szCs w:val="28"/>
          <w:lang w:val="el-GR"/>
        </w:rPr>
        <w:t>Συγκεκριμένα το πρωτόδικο Δικαστήριο παρέθεσε με λεπτομέρεια τις αλλεπάλληλες συγκρουόμενες εκδοχές του ΜΕ1 ως προς το με ποιον συνεργάζονταν οι Εφεσείοντες</w:t>
      </w:r>
      <w:r w:rsidR="00B8231D">
        <w:rPr>
          <w:rFonts w:ascii="Bookman Old Style" w:hAnsi="Bookman Old Style"/>
          <w:sz w:val="28"/>
          <w:szCs w:val="28"/>
          <w:lang w:val="el-GR"/>
        </w:rPr>
        <w:t xml:space="preserve"> </w:t>
      </w:r>
      <w:r w:rsidR="00A61B57">
        <w:rPr>
          <w:rFonts w:ascii="Bookman Old Style" w:hAnsi="Bookman Old Style"/>
          <w:sz w:val="28"/>
          <w:szCs w:val="28"/>
          <w:lang w:val="el-GR"/>
        </w:rPr>
        <w:t xml:space="preserve">και εξήγησε </w:t>
      </w:r>
      <w:r w:rsidR="0070557A">
        <w:rPr>
          <w:rFonts w:ascii="Bookman Old Style" w:hAnsi="Bookman Old Style"/>
          <w:sz w:val="28"/>
          <w:szCs w:val="28"/>
          <w:lang w:val="el-GR"/>
        </w:rPr>
        <w:t xml:space="preserve">αναλυτικά </w:t>
      </w:r>
      <w:r w:rsidR="00A61B57">
        <w:rPr>
          <w:rFonts w:ascii="Bookman Old Style" w:hAnsi="Bookman Old Style"/>
          <w:sz w:val="28"/>
          <w:szCs w:val="28"/>
          <w:lang w:val="el-GR"/>
        </w:rPr>
        <w:t xml:space="preserve">γιατί οι απαντήσεις του ΜΕ1 </w:t>
      </w:r>
      <w:r w:rsidR="00B8231D">
        <w:rPr>
          <w:rFonts w:ascii="Bookman Old Style" w:hAnsi="Bookman Old Style"/>
          <w:sz w:val="28"/>
          <w:szCs w:val="28"/>
          <w:lang w:val="el-GR"/>
        </w:rPr>
        <w:t xml:space="preserve">αναφορικά με την κατάσταση λογαριασμού, τις επιταγές και τις αποδείξεις πληρωμής </w:t>
      </w:r>
      <w:r w:rsidR="00A61B57">
        <w:rPr>
          <w:rFonts w:ascii="Bookman Old Style" w:hAnsi="Bookman Old Style"/>
          <w:sz w:val="28"/>
          <w:szCs w:val="28"/>
          <w:lang w:val="el-GR"/>
        </w:rPr>
        <w:t>δεν ήταν πειστικές και λογικές.</w:t>
      </w:r>
      <w:r w:rsidR="003E4099">
        <w:rPr>
          <w:rFonts w:ascii="Bookman Old Style" w:hAnsi="Bookman Old Style"/>
          <w:sz w:val="28"/>
          <w:szCs w:val="28"/>
          <w:lang w:val="el-GR"/>
        </w:rPr>
        <w:t xml:space="preserve"> </w:t>
      </w:r>
      <w:r w:rsidR="006058C9">
        <w:rPr>
          <w:rFonts w:ascii="Bookman Old Style" w:hAnsi="Bookman Old Style"/>
          <w:sz w:val="28"/>
          <w:szCs w:val="28"/>
          <w:lang w:val="el-GR"/>
        </w:rPr>
        <w:t xml:space="preserve">Αξιολογώντας τον ΜΕ1, το πρωτόδικο Δικαστήριο ανέφερε </w:t>
      </w:r>
      <w:r w:rsidR="008D77E7">
        <w:rPr>
          <w:rFonts w:ascii="Bookman Old Style" w:hAnsi="Bookman Old Style"/>
          <w:sz w:val="28"/>
          <w:szCs w:val="28"/>
          <w:lang w:val="el-GR"/>
        </w:rPr>
        <w:t xml:space="preserve">αρχικά </w:t>
      </w:r>
      <w:r w:rsidR="006058C9">
        <w:rPr>
          <w:rFonts w:ascii="Bookman Old Style" w:hAnsi="Bookman Old Style"/>
          <w:sz w:val="28"/>
          <w:szCs w:val="28"/>
          <w:lang w:val="el-GR"/>
        </w:rPr>
        <w:t>τα</w:t>
      </w:r>
      <w:r w:rsidR="004F0FB1">
        <w:rPr>
          <w:rFonts w:ascii="Bookman Old Style" w:hAnsi="Bookman Old Style"/>
          <w:sz w:val="28"/>
          <w:szCs w:val="28"/>
          <w:lang w:val="el-GR"/>
        </w:rPr>
        <w:t xml:space="preserve"> εξής</w:t>
      </w:r>
      <w:r w:rsidR="003E4099" w:rsidRPr="003E4099">
        <w:rPr>
          <w:rFonts w:ascii="Bookman Old Style" w:hAnsi="Bookman Old Style"/>
          <w:sz w:val="28"/>
          <w:szCs w:val="28"/>
          <w:lang w:val="el-GR"/>
        </w:rPr>
        <w:t>:</w:t>
      </w:r>
    </w:p>
    <w:p w14:paraId="510D02C6" w14:textId="08D694FA" w:rsidR="003E4099" w:rsidRDefault="003E4099" w:rsidP="00695AD6">
      <w:pPr>
        <w:spacing w:line="240" w:lineRule="auto"/>
        <w:ind w:left="567"/>
        <w:jc w:val="both"/>
        <w:rPr>
          <w:rFonts w:ascii="Bookman Old Style" w:hAnsi="Bookman Old Style"/>
          <w:sz w:val="28"/>
          <w:szCs w:val="28"/>
          <w:lang w:val="el-GR"/>
        </w:rPr>
      </w:pPr>
      <w:r>
        <w:rPr>
          <w:rFonts w:ascii="Bookman Old Style" w:hAnsi="Bookman Old Style"/>
          <w:sz w:val="28"/>
          <w:szCs w:val="28"/>
          <w:lang w:val="el-GR"/>
        </w:rPr>
        <w:t>«</w:t>
      </w:r>
      <w:r w:rsidRPr="00695AD6">
        <w:rPr>
          <w:rFonts w:ascii="Bookman Old Style" w:hAnsi="Bookman Old Style"/>
          <w:i/>
          <w:iCs/>
          <w:sz w:val="28"/>
          <w:szCs w:val="28"/>
          <w:lang w:val="el-GR"/>
        </w:rPr>
        <w:t>Ο Μ.Ε.1 πρέπει να λεχθεί ότι</w:t>
      </w:r>
      <w:r w:rsidR="000D7EF9" w:rsidRPr="00695AD6">
        <w:rPr>
          <w:rFonts w:ascii="Bookman Old Style" w:hAnsi="Bookman Old Style"/>
          <w:i/>
          <w:iCs/>
          <w:sz w:val="28"/>
          <w:szCs w:val="28"/>
          <w:lang w:val="el-GR"/>
        </w:rPr>
        <w:t xml:space="preserve"> δεν μου έκανε καλή εντύπωση. Για να πείσει ως προς την αξίωση των Εναγόντων προσπάθησε να παρουσιάσει ότι η όλη συνεργασία και οι συναλλαγές έγιναν από τον αποβιώσαντα υπό την προσωπική του ιδιότητα και ότι αυτός πλήρωνε και ανέλαβε να πληρώσει κάθε οφειλόμενο υπόλοιπο που δημιουργήθηκε από την εν λόγω συνεργασία και ποτέ η Εναγόμενη </w:t>
      </w:r>
      <w:r w:rsidR="000D7EF9" w:rsidRPr="00695AD6">
        <w:rPr>
          <w:rFonts w:ascii="Bookman Old Style" w:hAnsi="Bookman Old Style"/>
          <w:i/>
          <w:iCs/>
          <w:sz w:val="28"/>
          <w:szCs w:val="28"/>
          <w:lang w:val="el-GR"/>
        </w:rPr>
        <w:lastRenderedPageBreak/>
        <w:t xml:space="preserve">3 εταιρεία (στο εξής η </w:t>
      </w:r>
      <w:r w:rsidR="000D7EF9" w:rsidRPr="00695AD6">
        <w:rPr>
          <w:rFonts w:ascii="Bookman Old Style" w:hAnsi="Bookman Old Style"/>
          <w:i/>
          <w:iCs/>
          <w:sz w:val="28"/>
          <w:szCs w:val="28"/>
        </w:rPr>
        <w:t>COAZACO</w:t>
      </w:r>
      <w:r w:rsidR="000D7EF9" w:rsidRPr="00695AD6">
        <w:rPr>
          <w:rFonts w:ascii="Bookman Old Style" w:hAnsi="Bookman Old Style"/>
          <w:i/>
          <w:iCs/>
          <w:sz w:val="28"/>
          <w:szCs w:val="28"/>
          <w:lang w:val="el-GR"/>
        </w:rPr>
        <w:t xml:space="preserve">). Οι θέσεις του όμως δεν ήταν σταθερές και συνεπείς, σε κάποια σημεία η εκδοχή του δεν βρίσκει έρεισμα στη λογική ενώ σε κάποια άλλα διαψεύδεται από άλλη μαρτυρία. Περαιτέρω περιέπεσε σε ουσιώδεις αντιφάσεις και γενικά η μαρτυρία του εστερείτο πειστικότητας. </w:t>
      </w:r>
      <w:r w:rsidR="00130415" w:rsidRPr="00695AD6">
        <w:rPr>
          <w:rFonts w:ascii="Bookman Old Style" w:hAnsi="Bookman Old Style"/>
          <w:i/>
          <w:iCs/>
          <w:sz w:val="28"/>
          <w:szCs w:val="28"/>
          <w:lang w:val="el-GR"/>
        </w:rPr>
        <w:t xml:space="preserve">Όσον δε αφορά την κατάσταση λογαριασμού, τεκμήριο 4, η οποία ήταν ουσιαστικά η μόνη μαρτυρία που προσκομίσθηκε από πλευράς εναγόντων για να αποδείξει το κατ’  ισχυρισμό οφειλόμενο υπόλοιπο και πως αυτό διαμορφώθηκε, ο μάρτυρας δεν είχε προσωπική, θετική και ολοκληρωμένη γνώση των συναλλαγών που καταγράφονται εκεί και δεν μπορούσε να απαντήσει τεκμηριωμένα και με την απαιτούμενη βεβαιότητα σε σχέση με αρκετά θέματα για τα οποία </w:t>
      </w:r>
      <w:r w:rsidRPr="00695AD6">
        <w:rPr>
          <w:rFonts w:ascii="Bookman Old Style" w:hAnsi="Bookman Old Style"/>
          <w:i/>
          <w:iCs/>
          <w:sz w:val="28"/>
          <w:szCs w:val="28"/>
          <w:lang w:val="el-GR"/>
        </w:rPr>
        <w:t>ρωτήθηκε.</w:t>
      </w:r>
      <w:r>
        <w:rPr>
          <w:rFonts w:ascii="Bookman Old Style" w:hAnsi="Bookman Old Style"/>
          <w:sz w:val="28"/>
          <w:szCs w:val="28"/>
          <w:lang w:val="el-GR"/>
        </w:rPr>
        <w:t xml:space="preserve">» </w:t>
      </w:r>
    </w:p>
    <w:p w14:paraId="134EF624" w14:textId="77777777" w:rsidR="00695AD6" w:rsidRPr="003E4099" w:rsidRDefault="00695AD6" w:rsidP="00695AD6">
      <w:pPr>
        <w:spacing w:line="240" w:lineRule="auto"/>
        <w:ind w:left="567"/>
        <w:jc w:val="both"/>
        <w:rPr>
          <w:rFonts w:ascii="Bookman Old Style" w:hAnsi="Bookman Old Style"/>
          <w:sz w:val="28"/>
          <w:szCs w:val="28"/>
          <w:lang w:val="el-GR"/>
        </w:rPr>
      </w:pPr>
    </w:p>
    <w:p w14:paraId="08B933DA" w14:textId="35A8D68C" w:rsidR="00C90F3B" w:rsidRPr="00C90F3B" w:rsidRDefault="00695AD6" w:rsidP="00695AD6">
      <w:pPr>
        <w:tabs>
          <w:tab w:val="left" w:pos="567"/>
        </w:tabs>
        <w:spacing w:line="360" w:lineRule="auto"/>
        <w:jc w:val="both"/>
        <w:rPr>
          <w:rFonts w:ascii="Bookman Old Style" w:hAnsi="Bookman Old Style"/>
          <w:sz w:val="28"/>
          <w:szCs w:val="28"/>
          <w:lang w:val="el-GR"/>
        </w:rPr>
      </w:pPr>
      <w:r>
        <w:rPr>
          <w:rFonts w:ascii="Bookman Old Style" w:hAnsi="Bookman Old Style"/>
          <w:sz w:val="28"/>
          <w:szCs w:val="28"/>
          <w:lang w:val="el-GR"/>
        </w:rPr>
        <w:tab/>
      </w:r>
      <w:r w:rsidR="004F0FB1">
        <w:rPr>
          <w:rFonts w:ascii="Bookman Old Style" w:hAnsi="Bookman Old Style"/>
          <w:sz w:val="28"/>
          <w:szCs w:val="28"/>
          <w:lang w:val="el-GR"/>
        </w:rPr>
        <w:t>Ακολούθως το πρωτόδικο Δικαστήριο προέβη στις διαπιστώσεις του ως προς την αξιολόγηση της μαρτυρίας του ΜΕ1. Αυτές συνοψίζονται ως ακολούθως</w:t>
      </w:r>
      <w:r w:rsidR="00C90F3B" w:rsidRPr="00C90F3B">
        <w:rPr>
          <w:rFonts w:ascii="Bookman Old Style" w:hAnsi="Bookman Old Style"/>
          <w:sz w:val="28"/>
          <w:szCs w:val="28"/>
          <w:lang w:val="el-GR"/>
        </w:rPr>
        <w:t>:</w:t>
      </w:r>
    </w:p>
    <w:p w14:paraId="2B90583F" w14:textId="5C32793B" w:rsidR="003E678B" w:rsidRDefault="001647B2" w:rsidP="00695AD6">
      <w:pPr>
        <w:pStyle w:val="ListParagraph"/>
        <w:numPr>
          <w:ilvl w:val="0"/>
          <w:numId w:val="1"/>
        </w:numPr>
        <w:spacing w:after="0" w:line="480" w:lineRule="auto"/>
        <w:jc w:val="both"/>
        <w:rPr>
          <w:rFonts w:ascii="Bookman Old Style" w:hAnsi="Bookman Old Style"/>
          <w:sz w:val="28"/>
          <w:szCs w:val="28"/>
          <w:lang w:val="el-GR"/>
        </w:rPr>
      </w:pPr>
      <w:r>
        <w:rPr>
          <w:rFonts w:ascii="Bookman Old Style" w:hAnsi="Bookman Old Style"/>
          <w:sz w:val="28"/>
          <w:szCs w:val="28"/>
          <w:lang w:val="el-GR"/>
        </w:rPr>
        <w:t>Κ</w:t>
      </w:r>
      <w:r w:rsidRPr="00C90F3B">
        <w:rPr>
          <w:rFonts w:ascii="Bookman Old Style" w:hAnsi="Bookman Old Style"/>
          <w:sz w:val="28"/>
          <w:szCs w:val="28"/>
          <w:lang w:val="el-GR"/>
        </w:rPr>
        <w:t>ατά</w:t>
      </w:r>
      <w:r w:rsidR="003E678B" w:rsidRPr="00C90F3B">
        <w:rPr>
          <w:rFonts w:ascii="Bookman Old Style" w:hAnsi="Bookman Old Style"/>
          <w:sz w:val="28"/>
          <w:szCs w:val="28"/>
          <w:lang w:val="el-GR"/>
        </w:rPr>
        <w:t xml:space="preserve"> την κυρίως εξέταση του </w:t>
      </w:r>
      <w:r w:rsidR="00295760" w:rsidRPr="00C90F3B">
        <w:rPr>
          <w:rFonts w:ascii="Bookman Old Style" w:hAnsi="Bookman Old Style"/>
          <w:sz w:val="28"/>
          <w:szCs w:val="28"/>
          <w:lang w:val="el-GR"/>
        </w:rPr>
        <w:t xml:space="preserve">ο ΜΕ1 </w:t>
      </w:r>
      <w:r w:rsidR="003E678B" w:rsidRPr="00C90F3B">
        <w:rPr>
          <w:rFonts w:ascii="Bookman Old Style" w:hAnsi="Bookman Old Style"/>
          <w:sz w:val="28"/>
          <w:szCs w:val="28"/>
          <w:lang w:val="el-GR"/>
        </w:rPr>
        <w:t xml:space="preserve">περιορίστηκε στην αναφορά του περί συνεργασίας των Εφεσειόντων μόνο με τον ΚΚ προσωπικά </w:t>
      </w:r>
      <w:r w:rsidR="00295760" w:rsidRPr="00C90F3B">
        <w:rPr>
          <w:rFonts w:ascii="Bookman Old Style" w:hAnsi="Bookman Old Style"/>
          <w:sz w:val="28"/>
          <w:szCs w:val="28"/>
          <w:lang w:val="el-GR"/>
        </w:rPr>
        <w:t xml:space="preserve">και </w:t>
      </w:r>
      <w:r w:rsidR="003E678B" w:rsidRPr="00C90F3B">
        <w:rPr>
          <w:rFonts w:ascii="Bookman Old Style" w:hAnsi="Bookman Old Style"/>
          <w:sz w:val="28"/>
          <w:szCs w:val="28"/>
          <w:lang w:val="el-GR"/>
        </w:rPr>
        <w:t xml:space="preserve">για πρώτη φορά στην αντεξέταση του </w:t>
      </w:r>
      <w:r w:rsidR="00295760" w:rsidRPr="00C90F3B">
        <w:rPr>
          <w:rFonts w:ascii="Bookman Old Style" w:hAnsi="Bookman Old Style"/>
          <w:sz w:val="28"/>
          <w:szCs w:val="28"/>
          <w:lang w:val="el-GR"/>
        </w:rPr>
        <w:t xml:space="preserve">είπε </w:t>
      </w:r>
      <w:r w:rsidR="003E678B" w:rsidRPr="00C90F3B">
        <w:rPr>
          <w:rFonts w:ascii="Bookman Old Style" w:hAnsi="Bookman Old Style"/>
          <w:sz w:val="28"/>
          <w:szCs w:val="28"/>
          <w:lang w:val="el-GR"/>
        </w:rPr>
        <w:t xml:space="preserve">πως </w:t>
      </w:r>
      <w:r w:rsidR="00B24CBC">
        <w:rPr>
          <w:rFonts w:ascii="Bookman Old Style" w:hAnsi="Bookman Old Style"/>
          <w:sz w:val="28"/>
          <w:szCs w:val="28"/>
          <w:lang w:val="el-GR"/>
        </w:rPr>
        <w:t xml:space="preserve">περί το 2002 </w:t>
      </w:r>
      <w:r w:rsidR="003E678B" w:rsidRPr="00C90F3B">
        <w:rPr>
          <w:rFonts w:ascii="Bookman Old Style" w:hAnsi="Bookman Old Style"/>
          <w:sz w:val="28"/>
          <w:szCs w:val="28"/>
          <w:lang w:val="el-GR"/>
        </w:rPr>
        <w:t>ο ΚΚ τον είχε ενημερώσει και για την ίδρυση της εταιρείας</w:t>
      </w:r>
      <w:r w:rsidR="00932C66" w:rsidRPr="00932C66">
        <w:rPr>
          <w:rFonts w:ascii="Bookman Old Style" w:hAnsi="Bookman Old Style"/>
          <w:sz w:val="28"/>
          <w:szCs w:val="28"/>
          <w:lang w:val="el-GR"/>
        </w:rPr>
        <w:t>.</w:t>
      </w:r>
      <w:r w:rsidR="00295760" w:rsidRPr="00C90F3B">
        <w:rPr>
          <w:rFonts w:ascii="Bookman Old Style" w:hAnsi="Bookman Old Style"/>
          <w:sz w:val="28"/>
          <w:szCs w:val="28"/>
          <w:lang w:val="el-GR"/>
        </w:rPr>
        <w:t xml:space="preserve"> </w:t>
      </w:r>
      <w:r w:rsidR="00932C66">
        <w:rPr>
          <w:rFonts w:ascii="Bookman Old Style" w:hAnsi="Bookman Old Style"/>
          <w:sz w:val="28"/>
          <w:szCs w:val="28"/>
        </w:rPr>
        <w:t>O</w:t>
      </w:r>
      <w:r w:rsidR="00932C66" w:rsidRPr="00932C66">
        <w:rPr>
          <w:rFonts w:ascii="Bookman Old Style" w:hAnsi="Bookman Old Style"/>
          <w:sz w:val="28"/>
          <w:szCs w:val="28"/>
          <w:lang w:val="el-GR"/>
        </w:rPr>
        <w:t xml:space="preserve"> </w:t>
      </w:r>
      <w:r w:rsidR="00C90F3B" w:rsidRPr="00C90F3B">
        <w:rPr>
          <w:rFonts w:ascii="Bookman Old Style" w:hAnsi="Bookman Old Style"/>
          <w:sz w:val="28"/>
          <w:szCs w:val="28"/>
          <w:lang w:val="el-GR"/>
        </w:rPr>
        <w:t>λογαριασμός ανοίχθηκε στο όνομα του ΚΚ καθότι</w:t>
      </w:r>
      <w:r w:rsidR="00932C66" w:rsidRPr="00932C66">
        <w:rPr>
          <w:rFonts w:ascii="Bookman Old Style" w:hAnsi="Bookman Old Style"/>
          <w:sz w:val="28"/>
          <w:szCs w:val="28"/>
          <w:lang w:val="el-GR"/>
        </w:rPr>
        <w:t xml:space="preserve"> </w:t>
      </w:r>
      <w:r w:rsidR="00932C66">
        <w:rPr>
          <w:rFonts w:ascii="Bookman Old Style" w:hAnsi="Bookman Old Style"/>
          <w:sz w:val="28"/>
          <w:szCs w:val="28"/>
        </w:rPr>
        <w:t>o</w:t>
      </w:r>
      <w:r w:rsidR="00932C66" w:rsidRPr="00932C66">
        <w:rPr>
          <w:rFonts w:ascii="Bookman Old Style" w:hAnsi="Bookman Old Style"/>
          <w:sz w:val="28"/>
          <w:szCs w:val="28"/>
          <w:lang w:val="el-GR"/>
        </w:rPr>
        <w:t xml:space="preserve"> </w:t>
      </w:r>
      <w:r w:rsidR="00932C66">
        <w:rPr>
          <w:rFonts w:ascii="Bookman Old Style" w:hAnsi="Bookman Old Style"/>
          <w:sz w:val="28"/>
          <w:szCs w:val="28"/>
        </w:rPr>
        <w:t>ME</w:t>
      </w:r>
      <w:r w:rsidR="00932C66" w:rsidRPr="00932C66">
        <w:rPr>
          <w:rFonts w:ascii="Bookman Old Style" w:hAnsi="Bookman Old Style"/>
          <w:sz w:val="28"/>
          <w:szCs w:val="28"/>
          <w:lang w:val="el-GR"/>
        </w:rPr>
        <w:t xml:space="preserve">1 </w:t>
      </w:r>
      <w:r w:rsidR="00932C66">
        <w:rPr>
          <w:rFonts w:ascii="Bookman Old Style" w:hAnsi="Bookman Old Style"/>
          <w:sz w:val="28"/>
          <w:szCs w:val="28"/>
          <w:lang w:val="el-GR"/>
        </w:rPr>
        <w:t>είπε στον ΚΚ ότι αυτόν μόνο γνώριζε ενώ ο ΚΚ του ζήτησε όπως τα τιμολόγια εκδίδοντ</w:t>
      </w:r>
      <w:r w:rsidR="00B24CBC">
        <w:rPr>
          <w:rFonts w:ascii="Bookman Old Style" w:hAnsi="Bookman Old Style"/>
          <w:sz w:val="28"/>
          <w:szCs w:val="28"/>
          <w:lang w:val="el-GR"/>
        </w:rPr>
        <w:t>ο</w:t>
      </w:r>
      <w:r w:rsidR="00932C66">
        <w:rPr>
          <w:rFonts w:ascii="Bookman Old Style" w:hAnsi="Bookman Old Style"/>
          <w:sz w:val="28"/>
          <w:szCs w:val="28"/>
          <w:lang w:val="el-GR"/>
        </w:rPr>
        <w:t xml:space="preserve"> τόσο στο δικό του όνομα όσο και της εταιρείας. </w:t>
      </w:r>
    </w:p>
    <w:p w14:paraId="0FC89C87" w14:textId="77777777" w:rsidR="00695AD6" w:rsidRDefault="00695AD6" w:rsidP="00695AD6">
      <w:pPr>
        <w:pStyle w:val="ListParagraph"/>
        <w:spacing w:after="0" w:line="240" w:lineRule="auto"/>
        <w:ind w:left="1080"/>
        <w:jc w:val="both"/>
        <w:rPr>
          <w:rFonts w:ascii="Bookman Old Style" w:hAnsi="Bookman Old Style"/>
          <w:sz w:val="28"/>
          <w:szCs w:val="28"/>
          <w:lang w:val="el-GR"/>
        </w:rPr>
      </w:pPr>
    </w:p>
    <w:p w14:paraId="06B53CA6" w14:textId="503F0328" w:rsidR="00695AD6" w:rsidRDefault="001647B2" w:rsidP="004E2D0E">
      <w:pPr>
        <w:pStyle w:val="ListParagraph"/>
        <w:numPr>
          <w:ilvl w:val="0"/>
          <w:numId w:val="1"/>
        </w:numPr>
        <w:spacing w:before="240" w:line="480" w:lineRule="auto"/>
        <w:jc w:val="both"/>
        <w:rPr>
          <w:rFonts w:ascii="Bookman Old Style" w:hAnsi="Bookman Old Style"/>
          <w:sz w:val="28"/>
          <w:szCs w:val="28"/>
          <w:lang w:val="el-GR"/>
        </w:rPr>
      </w:pPr>
      <w:r>
        <w:rPr>
          <w:rFonts w:ascii="Bookman Old Style" w:hAnsi="Bookman Old Style"/>
          <w:sz w:val="28"/>
          <w:szCs w:val="28"/>
          <w:lang w:val="el-GR"/>
        </w:rPr>
        <w:t xml:space="preserve">Ενώ ο ΜΕ1 δήλωσε ότι ο λογαριασμός ανοίχθηκε στο όνομα του ΚΚ, η κατάσταση λογαριασμού αναγράφει τόσο το όνομα της </w:t>
      </w:r>
      <w:r>
        <w:rPr>
          <w:rFonts w:ascii="Bookman Old Style" w:hAnsi="Bookman Old Style"/>
          <w:sz w:val="28"/>
          <w:szCs w:val="28"/>
          <w:lang w:val="el-GR"/>
        </w:rPr>
        <w:lastRenderedPageBreak/>
        <w:t>εταιρείας όσο και του ΚΚ</w:t>
      </w:r>
      <w:r w:rsidR="004E2D0E">
        <w:rPr>
          <w:rFonts w:ascii="Bookman Old Style" w:hAnsi="Bookman Old Style"/>
          <w:sz w:val="28"/>
          <w:szCs w:val="28"/>
          <w:lang w:val="el-GR"/>
        </w:rPr>
        <w:t xml:space="preserve"> και ο ΜΕ1 δέχθηκε την έκδοση των τιμολογίων και στα δύο ονόματα, χωρίς να δώσει πειστικές εξηγήσεις ως προς τούτο</w:t>
      </w:r>
      <w:r>
        <w:rPr>
          <w:rFonts w:ascii="Bookman Old Style" w:hAnsi="Bookman Old Style"/>
          <w:sz w:val="28"/>
          <w:szCs w:val="28"/>
          <w:lang w:val="el-GR"/>
        </w:rPr>
        <w:t>.</w:t>
      </w:r>
    </w:p>
    <w:p w14:paraId="1626C7DB" w14:textId="77777777" w:rsidR="004E2D0E" w:rsidRPr="004E2D0E" w:rsidRDefault="004E2D0E" w:rsidP="004E2D0E">
      <w:pPr>
        <w:pStyle w:val="ListParagraph"/>
        <w:rPr>
          <w:rFonts w:ascii="Bookman Old Style" w:hAnsi="Bookman Old Style"/>
          <w:sz w:val="28"/>
          <w:szCs w:val="28"/>
          <w:lang w:val="el-GR"/>
        </w:rPr>
      </w:pPr>
    </w:p>
    <w:p w14:paraId="68D8E6F2" w14:textId="77777777" w:rsidR="00695AD6" w:rsidRDefault="001647B2" w:rsidP="00695AD6">
      <w:pPr>
        <w:pStyle w:val="ListParagraph"/>
        <w:numPr>
          <w:ilvl w:val="0"/>
          <w:numId w:val="1"/>
        </w:numPr>
        <w:spacing w:line="480" w:lineRule="auto"/>
        <w:jc w:val="both"/>
        <w:rPr>
          <w:rFonts w:ascii="Bookman Old Style" w:hAnsi="Bookman Old Style"/>
          <w:sz w:val="28"/>
          <w:szCs w:val="28"/>
          <w:lang w:val="el-GR"/>
        </w:rPr>
      </w:pPr>
      <w:r>
        <w:rPr>
          <w:rFonts w:ascii="Bookman Old Style" w:hAnsi="Bookman Old Style"/>
          <w:sz w:val="28"/>
          <w:szCs w:val="28"/>
          <w:lang w:val="el-GR"/>
        </w:rPr>
        <w:t>Σε κάποιο στάδιο ο ΜΕ1 ανέφερε ότι είχε ανοιχθεί και λογαριασμός στο όνομα της εταιρείας.</w:t>
      </w:r>
    </w:p>
    <w:p w14:paraId="6420BF88" w14:textId="77777777" w:rsidR="00695AD6" w:rsidRPr="00695AD6" w:rsidRDefault="00695AD6" w:rsidP="00244C9C">
      <w:pPr>
        <w:pStyle w:val="ListParagraph"/>
        <w:spacing w:line="240" w:lineRule="auto"/>
        <w:rPr>
          <w:rFonts w:ascii="Bookman Old Style" w:hAnsi="Bookman Old Style"/>
          <w:sz w:val="28"/>
          <w:szCs w:val="28"/>
          <w:lang w:val="el-GR"/>
        </w:rPr>
      </w:pPr>
    </w:p>
    <w:p w14:paraId="5FFEBF4A" w14:textId="77777777" w:rsidR="00695AD6" w:rsidRDefault="001647B2" w:rsidP="00244C9C">
      <w:pPr>
        <w:pStyle w:val="ListParagraph"/>
        <w:numPr>
          <w:ilvl w:val="0"/>
          <w:numId w:val="1"/>
        </w:numPr>
        <w:spacing w:line="480" w:lineRule="auto"/>
        <w:jc w:val="both"/>
        <w:rPr>
          <w:rFonts w:ascii="Bookman Old Style" w:hAnsi="Bookman Old Style"/>
          <w:sz w:val="28"/>
          <w:szCs w:val="28"/>
          <w:lang w:val="el-GR"/>
        </w:rPr>
      </w:pPr>
      <w:r>
        <w:rPr>
          <w:rFonts w:ascii="Bookman Old Style" w:hAnsi="Bookman Old Style"/>
          <w:sz w:val="28"/>
          <w:szCs w:val="28"/>
          <w:lang w:val="el-GR"/>
        </w:rPr>
        <w:t>Ο ΜΕ1 είπε πως κατά την έναρξη της συνεργασίας τους οι Εφεσείοντες συνεργάζονταν με την εταιρεία υπό την προσωπική εγγύηση του ΚΚ.</w:t>
      </w:r>
    </w:p>
    <w:p w14:paraId="4AFD70F2" w14:textId="77777777" w:rsidR="00695AD6" w:rsidRPr="00695AD6" w:rsidRDefault="00695AD6" w:rsidP="00695AD6">
      <w:pPr>
        <w:pStyle w:val="ListParagraph"/>
        <w:rPr>
          <w:rFonts w:ascii="Bookman Old Style" w:hAnsi="Bookman Old Style"/>
          <w:sz w:val="28"/>
          <w:szCs w:val="28"/>
          <w:lang w:val="el-GR"/>
        </w:rPr>
      </w:pPr>
    </w:p>
    <w:p w14:paraId="7C5E070C" w14:textId="77777777" w:rsidR="00244C9C" w:rsidRDefault="005017C1" w:rsidP="00244C9C">
      <w:pPr>
        <w:pStyle w:val="ListParagraph"/>
        <w:numPr>
          <w:ilvl w:val="0"/>
          <w:numId w:val="1"/>
        </w:numPr>
        <w:spacing w:line="480" w:lineRule="auto"/>
        <w:jc w:val="both"/>
        <w:rPr>
          <w:rFonts w:ascii="Bookman Old Style" w:hAnsi="Bookman Old Style"/>
          <w:sz w:val="28"/>
          <w:szCs w:val="28"/>
          <w:lang w:val="el-GR"/>
        </w:rPr>
      </w:pPr>
      <w:r>
        <w:rPr>
          <w:rFonts w:ascii="Bookman Old Style" w:hAnsi="Bookman Old Style"/>
          <w:sz w:val="28"/>
          <w:szCs w:val="28"/>
          <w:lang w:val="el-GR"/>
        </w:rPr>
        <w:t>Ο ΜΕ1 ανέφερε επίσης ότι α</w:t>
      </w:r>
      <w:r w:rsidR="001647B2">
        <w:rPr>
          <w:rFonts w:ascii="Bookman Old Style" w:hAnsi="Bookman Old Style"/>
          <w:sz w:val="28"/>
          <w:szCs w:val="28"/>
          <w:lang w:val="el-GR"/>
        </w:rPr>
        <w:t>ρχικά οι πληρωμές γίνονταν με επιταγές της εταιρείας και λόγω του ότι αυτές δεν τιμούνταν, ανοίχθηκε ο λογαριασμός, Τεκμήριο 4, στο όνομα και των δύο.</w:t>
      </w:r>
    </w:p>
    <w:p w14:paraId="3E4158D6" w14:textId="77777777" w:rsidR="00244C9C" w:rsidRPr="00244C9C" w:rsidRDefault="00244C9C" w:rsidP="00244C9C">
      <w:pPr>
        <w:pStyle w:val="ListParagraph"/>
        <w:spacing w:line="240" w:lineRule="auto"/>
        <w:rPr>
          <w:rFonts w:ascii="Bookman Old Style" w:hAnsi="Bookman Old Style"/>
          <w:sz w:val="28"/>
          <w:szCs w:val="28"/>
          <w:lang w:val="el-GR"/>
        </w:rPr>
      </w:pPr>
    </w:p>
    <w:p w14:paraId="4FBCA478" w14:textId="77777777" w:rsidR="00244C9C" w:rsidRDefault="00774716" w:rsidP="00244C9C">
      <w:pPr>
        <w:pStyle w:val="ListParagraph"/>
        <w:numPr>
          <w:ilvl w:val="0"/>
          <w:numId w:val="1"/>
        </w:numPr>
        <w:spacing w:line="480" w:lineRule="auto"/>
        <w:jc w:val="both"/>
        <w:rPr>
          <w:rFonts w:ascii="Bookman Old Style" w:hAnsi="Bookman Old Style"/>
          <w:sz w:val="28"/>
          <w:szCs w:val="28"/>
          <w:lang w:val="el-GR"/>
        </w:rPr>
      </w:pPr>
      <w:r>
        <w:rPr>
          <w:rFonts w:ascii="Bookman Old Style" w:hAnsi="Bookman Old Style"/>
          <w:sz w:val="28"/>
          <w:szCs w:val="28"/>
          <w:lang w:val="el-GR"/>
        </w:rPr>
        <w:t>Ενώ ο</w:t>
      </w:r>
      <w:r w:rsidR="001647B2">
        <w:rPr>
          <w:rFonts w:ascii="Bookman Old Style" w:hAnsi="Bookman Old Style"/>
          <w:sz w:val="28"/>
          <w:szCs w:val="28"/>
          <w:lang w:val="el-GR"/>
        </w:rPr>
        <w:t xml:space="preserve"> ΜΕ1 </w:t>
      </w:r>
      <w:r>
        <w:rPr>
          <w:rFonts w:ascii="Bookman Old Style" w:hAnsi="Bookman Old Style"/>
          <w:sz w:val="28"/>
          <w:szCs w:val="28"/>
          <w:lang w:val="el-GR"/>
        </w:rPr>
        <w:t xml:space="preserve">ισχυρίστηκε ότι η συμφωνία έγινε με τον ΚΚ, </w:t>
      </w:r>
      <w:r w:rsidR="001647B2">
        <w:rPr>
          <w:rFonts w:ascii="Bookman Old Style" w:hAnsi="Bookman Old Style"/>
          <w:sz w:val="28"/>
          <w:szCs w:val="28"/>
          <w:lang w:val="el-GR"/>
        </w:rPr>
        <w:t xml:space="preserve">δεν έδωσε </w:t>
      </w:r>
      <w:r w:rsidR="00445C14">
        <w:rPr>
          <w:rFonts w:ascii="Bookman Old Style" w:hAnsi="Bookman Old Style"/>
          <w:sz w:val="28"/>
          <w:szCs w:val="28"/>
          <w:lang w:val="el-GR"/>
        </w:rPr>
        <w:t xml:space="preserve">πειστική </w:t>
      </w:r>
      <w:r w:rsidR="001647B2">
        <w:rPr>
          <w:rFonts w:ascii="Bookman Old Style" w:hAnsi="Bookman Old Style"/>
          <w:sz w:val="28"/>
          <w:szCs w:val="28"/>
          <w:lang w:val="el-GR"/>
        </w:rPr>
        <w:t xml:space="preserve">εξήγηση γιατί η κατάσταση λογαριασμού έφερε και το όνομα της εταιρείας και </w:t>
      </w:r>
      <w:r>
        <w:rPr>
          <w:rFonts w:ascii="Bookman Old Style" w:hAnsi="Bookman Old Style"/>
          <w:sz w:val="28"/>
          <w:szCs w:val="28"/>
          <w:lang w:val="el-GR"/>
        </w:rPr>
        <w:t xml:space="preserve">γιατί </w:t>
      </w:r>
      <w:r w:rsidR="001647B2">
        <w:rPr>
          <w:rFonts w:ascii="Bookman Old Style" w:hAnsi="Bookman Old Style"/>
          <w:sz w:val="28"/>
          <w:szCs w:val="28"/>
          <w:lang w:val="el-GR"/>
        </w:rPr>
        <w:t>ο διαζευκτικός τίτλος</w:t>
      </w:r>
      <w:r w:rsidR="00445C14">
        <w:rPr>
          <w:rFonts w:ascii="Bookman Old Style" w:hAnsi="Bookman Old Style"/>
          <w:sz w:val="28"/>
          <w:szCs w:val="28"/>
          <w:lang w:val="el-GR"/>
        </w:rPr>
        <w:t xml:space="preserve"> </w:t>
      </w:r>
      <w:r w:rsidR="005017C1">
        <w:rPr>
          <w:rFonts w:ascii="Bookman Old Style" w:hAnsi="Bookman Old Style"/>
          <w:sz w:val="28"/>
          <w:szCs w:val="28"/>
          <w:lang w:val="el-GR"/>
        </w:rPr>
        <w:t>του ονόματος της εταιρείας και του ονόματος του ΚΚ ήταν αναγκαίος. Δήλωσε ακόμα πως αυτός ο τίτλος δεν επηρέαζε τους Εφεσείοντες.</w:t>
      </w:r>
    </w:p>
    <w:p w14:paraId="12FE5E59" w14:textId="77777777" w:rsidR="00244C9C" w:rsidRPr="00244C9C" w:rsidRDefault="00244C9C" w:rsidP="00244C9C">
      <w:pPr>
        <w:pStyle w:val="ListParagraph"/>
        <w:spacing w:line="240" w:lineRule="auto"/>
        <w:rPr>
          <w:rFonts w:ascii="Bookman Old Style" w:hAnsi="Bookman Old Style"/>
          <w:sz w:val="28"/>
          <w:szCs w:val="28"/>
          <w:lang w:val="el-GR"/>
        </w:rPr>
      </w:pPr>
    </w:p>
    <w:p w14:paraId="0EB44802" w14:textId="77777777" w:rsidR="00244C9C" w:rsidRDefault="0091238A" w:rsidP="00244C9C">
      <w:pPr>
        <w:pStyle w:val="ListParagraph"/>
        <w:numPr>
          <w:ilvl w:val="0"/>
          <w:numId w:val="1"/>
        </w:numPr>
        <w:spacing w:line="480" w:lineRule="auto"/>
        <w:jc w:val="both"/>
        <w:rPr>
          <w:rFonts w:ascii="Bookman Old Style" w:hAnsi="Bookman Old Style"/>
          <w:sz w:val="28"/>
          <w:szCs w:val="28"/>
          <w:lang w:val="el-GR"/>
        </w:rPr>
      </w:pPr>
      <w:r>
        <w:rPr>
          <w:rFonts w:ascii="Bookman Old Style" w:hAnsi="Bookman Old Style"/>
          <w:sz w:val="28"/>
          <w:szCs w:val="28"/>
          <w:lang w:val="el-GR"/>
        </w:rPr>
        <w:lastRenderedPageBreak/>
        <w:t>Ενώ ο ΜΕ1 ανέφερε ότι στην αρχή της συνεργασίας τους και για κάποιους μήνες δεχόταν επιταγές της εταιρείας, με βάση το περιεχόμενο της κατάστασης λογαριασμού φαίνεται ότι η πληρωμή με επιταγές της εταιρείας γινόταν για περίοδο δύο ετών.</w:t>
      </w:r>
    </w:p>
    <w:p w14:paraId="353B1C71" w14:textId="77777777" w:rsidR="00244C9C" w:rsidRPr="00244C9C" w:rsidRDefault="00244C9C" w:rsidP="00244C9C">
      <w:pPr>
        <w:pStyle w:val="ListParagraph"/>
        <w:spacing w:line="240" w:lineRule="auto"/>
        <w:rPr>
          <w:rFonts w:ascii="Bookman Old Style" w:hAnsi="Bookman Old Style"/>
          <w:sz w:val="28"/>
          <w:szCs w:val="28"/>
          <w:lang w:val="el-GR"/>
        </w:rPr>
      </w:pPr>
    </w:p>
    <w:p w14:paraId="6711CAED" w14:textId="79F96702" w:rsidR="0091238A" w:rsidRDefault="00434261" w:rsidP="00244C9C">
      <w:pPr>
        <w:pStyle w:val="ListParagraph"/>
        <w:numPr>
          <w:ilvl w:val="0"/>
          <w:numId w:val="1"/>
        </w:numPr>
        <w:spacing w:line="480" w:lineRule="auto"/>
        <w:jc w:val="both"/>
        <w:rPr>
          <w:rFonts w:ascii="Bookman Old Style" w:hAnsi="Bookman Old Style"/>
          <w:sz w:val="28"/>
          <w:szCs w:val="28"/>
          <w:lang w:val="el-GR"/>
        </w:rPr>
      </w:pPr>
      <w:r>
        <w:rPr>
          <w:rFonts w:ascii="Bookman Old Style" w:hAnsi="Bookman Old Style"/>
          <w:sz w:val="28"/>
          <w:szCs w:val="28"/>
          <w:lang w:val="el-GR"/>
        </w:rPr>
        <w:t>Ενώ ο</w:t>
      </w:r>
      <w:r w:rsidR="0091238A">
        <w:rPr>
          <w:rFonts w:ascii="Bookman Old Style" w:hAnsi="Bookman Old Style"/>
          <w:sz w:val="28"/>
          <w:szCs w:val="28"/>
          <w:lang w:val="el-GR"/>
        </w:rPr>
        <w:t xml:space="preserve"> ΜΕ1 ισχυρίζεται ότι η συμφωνία έγινε με τον ΚΚ, </w:t>
      </w:r>
      <w:r w:rsidR="001053D0">
        <w:rPr>
          <w:rFonts w:ascii="Bookman Old Style" w:hAnsi="Bookman Old Style"/>
          <w:sz w:val="28"/>
          <w:szCs w:val="28"/>
          <w:lang w:val="el-GR"/>
        </w:rPr>
        <w:t xml:space="preserve">ανέφερε πως </w:t>
      </w:r>
      <w:r w:rsidR="0091238A">
        <w:rPr>
          <w:rFonts w:ascii="Bookman Old Style" w:hAnsi="Bookman Old Style"/>
          <w:sz w:val="28"/>
          <w:szCs w:val="28"/>
          <w:lang w:val="el-GR"/>
        </w:rPr>
        <w:t>η Αγωγή ηγέρθη και εναντίον της εταιρείας καθότι η κατάσταση λογαριασμού έφερε και το όνομα αυτής, θέση η οποία δεν κρίθηκε πειστική.</w:t>
      </w:r>
    </w:p>
    <w:p w14:paraId="738C4C56" w14:textId="77777777" w:rsidR="00244C9C" w:rsidRDefault="0091238A" w:rsidP="00244C9C">
      <w:pPr>
        <w:pStyle w:val="ListParagraph"/>
        <w:numPr>
          <w:ilvl w:val="0"/>
          <w:numId w:val="1"/>
        </w:numPr>
        <w:spacing w:line="480" w:lineRule="auto"/>
        <w:jc w:val="both"/>
        <w:rPr>
          <w:rFonts w:ascii="Bookman Old Style" w:hAnsi="Bookman Old Style"/>
          <w:sz w:val="28"/>
          <w:szCs w:val="28"/>
          <w:lang w:val="el-GR"/>
        </w:rPr>
      </w:pPr>
      <w:r>
        <w:rPr>
          <w:rFonts w:ascii="Bookman Old Style" w:hAnsi="Bookman Old Style"/>
          <w:sz w:val="28"/>
          <w:szCs w:val="28"/>
          <w:lang w:val="el-GR"/>
        </w:rPr>
        <w:t>Ο</w:t>
      </w:r>
      <w:r w:rsidR="00A82484">
        <w:rPr>
          <w:rFonts w:ascii="Bookman Old Style" w:hAnsi="Bookman Old Style"/>
          <w:sz w:val="28"/>
          <w:szCs w:val="28"/>
          <w:lang w:val="el-GR"/>
        </w:rPr>
        <w:t xml:space="preserve"> ΜΕ1 είπε πως οι</w:t>
      </w:r>
      <w:r>
        <w:rPr>
          <w:rFonts w:ascii="Bookman Old Style" w:hAnsi="Bookman Old Style"/>
          <w:sz w:val="28"/>
          <w:szCs w:val="28"/>
          <w:lang w:val="el-GR"/>
        </w:rPr>
        <w:t xml:space="preserve"> επιταγές, Τ</w:t>
      </w:r>
      <w:r w:rsidR="005A387A">
        <w:rPr>
          <w:rFonts w:ascii="Bookman Old Style" w:hAnsi="Bookman Old Style"/>
          <w:sz w:val="28"/>
          <w:szCs w:val="28"/>
          <w:lang w:val="el-GR"/>
        </w:rPr>
        <w:t>ε</w:t>
      </w:r>
      <w:r>
        <w:rPr>
          <w:rFonts w:ascii="Bookman Old Style" w:hAnsi="Bookman Old Style"/>
          <w:sz w:val="28"/>
          <w:szCs w:val="28"/>
          <w:lang w:val="el-GR"/>
        </w:rPr>
        <w:t xml:space="preserve">κμήριο </w:t>
      </w:r>
      <w:r w:rsidR="005A387A">
        <w:rPr>
          <w:rFonts w:ascii="Bookman Old Style" w:hAnsi="Bookman Old Style"/>
          <w:sz w:val="28"/>
          <w:szCs w:val="28"/>
          <w:lang w:val="el-GR"/>
        </w:rPr>
        <w:t>5</w:t>
      </w:r>
      <w:r>
        <w:rPr>
          <w:rFonts w:ascii="Bookman Old Style" w:hAnsi="Bookman Old Style"/>
          <w:sz w:val="28"/>
          <w:szCs w:val="28"/>
          <w:lang w:val="el-GR"/>
        </w:rPr>
        <w:t xml:space="preserve">, δόθηκαν ως εγγύηση της οφειλής, ενώ στην </w:t>
      </w:r>
      <w:r w:rsidR="0022414C">
        <w:rPr>
          <w:rFonts w:ascii="Bookman Old Style" w:hAnsi="Bookman Old Style"/>
          <w:sz w:val="28"/>
          <w:szCs w:val="28"/>
          <w:lang w:val="el-GR"/>
        </w:rPr>
        <w:t>Έ</w:t>
      </w:r>
      <w:r>
        <w:rPr>
          <w:rFonts w:ascii="Bookman Old Style" w:hAnsi="Bookman Old Style"/>
          <w:sz w:val="28"/>
          <w:szCs w:val="28"/>
          <w:lang w:val="el-GR"/>
        </w:rPr>
        <w:t xml:space="preserve">κθεση </w:t>
      </w:r>
      <w:r w:rsidR="0022414C">
        <w:rPr>
          <w:rFonts w:ascii="Bookman Old Style" w:hAnsi="Bookman Old Style"/>
          <w:sz w:val="28"/>
          <w:szCs w:val="28"/>
          <w:lang w:val="el-GR"/>
        </w:rPr>
        <w:t>Α</w:t>
      </w:r>
      <w:r>
        <w:rPr>
          <w:rFonts w:ascii="Bookman Old Style" w:hAnsi="Bookman Old Style"/>
          <w:sz w:val="28"/>
          <w:szCs w:val="28"/>
          <w:lang w:val="el-GR"/>
        </w:rPr>
        <w:t>παίτησης δεν προβάλλεται τέτοιος ισχυρισμός αλλά ότι οι επιταγές δόθηκαν για την πληρωμή της οφειλής και έναντι του χρεωστικού υπολοίπου.</w:t>
      </w:r>
    </w:p>
    <w:p w14:paraId="3C68DAF1" w14:textId="12D0E921" w:rsidR="0091238A" w:rsidRDefault="0091238A" w:rsidP="00244C9C">
      <w:pPr>
        <w:pStyle w:val="ListParagraph"/>
        <w:spacing w:line="240" w:lineRule="auto"/>
        <w:ind w:left="1080"/>
        <w:jc w:val="both"/>
        <w:rPr>
          <w:rFonts w:ascii="Bookman Old Style" w:hAnsi="Bookman Old Style"/>
          <w:sz w:val="28"/>
          <w:szCs w:val="28"/>
          <w:lang w:val="el-GR"/>
        </w:rPr>
      </w:pPr>
      <w:r>
        <w:rPr>
          <w:rFonts w:ascii="Bookman Old Style" w:hAnsi="Bookman Old Style"/>
          <w:sz w:val="28"/>
          <w:szCs w:val="28"/>
          <w:lang w:val="el-GR"/>
        </w:rPr>
        <w:t xml:space="preserve"> </w:t>
      </w:r>
    </w:p>
    <w:p w14:paraId="58B706A3" w14:textId="77777777" w:rsidR="00244C9C" w:rsidRDefault="003E0188" w:rsidP="00244C9C">
      <w:pPr>
        <w:pStyle w:val="ListParagraph"/>
        <w:numPr>
          <w:ilvl w:val="0"/>
          <w:numId w:val="1"/>
        </w:numPr>
        <w:spacing w:line="480" w:lineRule="auto"/>
        <w:jc w:val="both"/>
        <w:rPr>
          <w:rFonts w:ascii="Bookman Old Style" w:hAnsi="Bookman Old Style"/>
          <w:sz w:val="28"/>
          <w:szCs w:val="28"/>
          <w:lang w:val="el-GR"/>
        </w:rPr>
      </w:pPr>
      <w:r>
        <w:rPr>
          <w:rFonts w:ascii="Bookman Old Style" w:hAnsi="Bookman Old Style"/>
          <w:sz w:val="28"/>
          <w:szCs w:val="28"/>
          <w:lang w:val="el-GR"/>
        </w:rPr>
        <w:t>Ο ΜΕ1 δήλωσε ότι σ</w:t>
      </w:r>
      <w:r w:rsidR="0091238A">
        <w:rPr>
          <w:rFonts w:ascii="Bookman Old Style" w:hAnsi="Bookman Old Style"/>
          <w:sz w:val="28"/>
          <w:szCs w:val="28"/>
          <w:lang w:val="el-GR"/>
        </w:rPr>
        <w:t xml:space="preserve">την αρχή της συνεργασίας τους οι αποδείξεις εκδίδονταν στο όνομα της εταιρείας και </w:t>
      </w:r>
      <w:r w:rsidR="006D2152">
        <w:rPr>
          <w:rFonts w:ascii="Bookman Old Style" w:hAnsi="Bookman Old Style"/>
          <w:sz w:val="28"/>
          <w:szCs w:val="28"/>
          <w:lang w:val="el-GR"/>
        </w:rPr>
        <w:t xml:space="preserve">μεταγενέστερα </w:t>
      </w:r>
      <w:r w:rsidR="00594EF1">
        <w:rPr>
          <w:rFonts w:ascii="Bookman Old Style" w:hAnsi="Bookman Old Style"/>
          <w:sz w:val="28"/>
          <w:szCs w:val="28"/>
          <w:lang w:val="el-GR"/>
        </w:rPr>
        <w:t>στο όνομα τ</w:t>
      </w:r>
      <w:r w:rsidR="0091238A">
        <w:rPr>
          <w:rFonts w:ascii="Bookman Old Style" w:hAnsi="Bookman Old Style"/>
          <w:sz w:val="28"/>
          <w:szCs w:val="28"/>
          <w:lang w:val="el-GR"/>
        </w:rPr>
        <w:t>ου ΚΚ, ενώ οι αποδείξεις, Τεκμήριο 7,</w:t>
      </w:r>
      <w:r w:rsidR="00594EF1">
        <w:rPr>
          <w:rFonts w:ascii="Bookman Old Style" w:hAnsi="Bookman Old Style"/>
          <w:sz w:val="28"/>
          <w:szCs w:val="28"/>
          <w:lang w:val="el-GR"/>
        </w:rPr>
        <w:t xml:space="preserve"> οι οποίες </w:t>
      </w:r>
      <w:r w:rsidR="009A52FB">
        <w:rPr>
          <w:rFonts w:ascii="Bookman Old Style" w:hAnsi="Bookman Old Style"/>
          <w:sz w:val="28"/>
          <w:szCs w:val="28"/>
          <w:lang w:val="el-GR"/>
        </w:rPr>
        <w:t xml:space="preserve">εκδόθηκαν το 2005 </w:t>
      </w:r>
      <w:r w:rsidR="0091238A">
        <w:rPr>
          <w:rFonts w:ascii="Bookman Old Style" w:hAnsi="Bookman Old Style"/>
          <w:sz w:val="28"/>
          <w:szCs w:val="28"/>
          <w:lang w:val="el-GR"/>
        </w:rPr>
        <w:t>εκδόθηκαν στο όνομα της εταιρείας.</w:t>
      </w:r>
    </w:p>
    <w:p w14:paraId="00868F95" w14:textId="77777777" w:rsidR="00244C9C" w:rsidRPr="00244C9C" w:rsidRDefault="00244C9C" w:rsidP="00244C9C">
      <w:pPr>
        <w:pStyle w:val="ListParagraph"/>
        <w:spacing w:line="240" w:lineRule="auto"/>
        <w:rPr>
          <w:rFonts w:ascii="Bookman Old Style" w:hAnsi="Bookman Old Style"/>
          <w:sz w:val="28"/>
          <w:szCs w:val="28"/>
          <w:lang w:val="el-GR"/>
        </w:rPr>
      </w:pPr>
    </w:p>
    <w:p w14:paraId="1E479D6F" w14:textId="77777777" w:rsidR="00244C9C" w:rsidRDefault="0091238A" w:rsidP="00244C9C">
      <w:pPr>
        <w:pStyle w:val="ListParagraph"/>
        <w:numPr>
          <w:ilvl w:val="0"/>
          <w:numId w:val="1"/>
        </w:numPr>
        <w:spacing w:line="480" w:lineRule="auto"/>
        <w:jc w:val="both"/>
        <w:rPr>
          <w:rFonts w:ascii="Bookman Old Style" w:hAnsi="Bookman Old Style"/>
          <w:sz w:val="28"/>
          <w:szCs w:val="28"/>
          <w:lang w:val="el-GR"/>
        </w:rPr>
      </w:pPr>
      <w:r>
        <w:rPr>
          <w:rFonts w:ascii="Bookman Old Style" w:hAnsi="Bookman Old Style"/>
          <w:sz w:val="28"/>
          <w:szCs w:val="28"/>
          <w:lang w:val="el-GR"/>
        </w:rPr>
        <w:lastRenderedPageBreak/>
        <w:t xml:space="preserve">Ενώ </w:t>
      </w:r>
      <w:r w:rsidR="00655328">
        <w:rPr>
          <w:rFonts w:ascii="Bookman Old Style" w:hAnsi="Bookman Old Style"/>
          <w:sz w:val="28"/>
          <w:szCs w:val="28"/>
          <w:lang w:val="el-GR"/>
        </w:rPr>
        <w:t xml:space="preserve">ο ΜΕ1 </w:t>
      </w:r>
      <w:r>
        <w:rPr>
          <w:rFonts w:ascii="Bookman Old Style" w:hAnsi="Bookman Old Style"/>
          <w:sz w:val="28"/>
          <w:szCs w:val="28"/>
          <w:lang w:val="el-GR"/>
        </w:rPr>
        <w:t>ανέφερε ότι ο ΚΚ ζήτησε την έκδοση των αποδείξεων στο όνομα της εταιρείας για φορολογικούς λόγους, μετά δήλωσε πως δεν γνώριζε κάτι τέτοιο.</w:t>
      </w:r>
    </w:p>
    <w:p w14:paraId="3C6F641F" w14:textId="77777777" w:rsidR="00244C9C" w:rsidRPr="00244C9C" w:rsidRDefault="00244C9C" w:rsidP="00244C9C">
      <w:pPr>
        <w:pStyle w:val="ListParagraph"/>
        <w:rPr>
          <w:rFonts w:ascii="Bookman Old Style" w:hAnsi="Bookman Old Style"/>
          <w:sz w:val="28"/>
          <w:szCs w:val="28"/>
          <w:lang w:val="el-GR"/>
        </w:rPr>
      </w:pPr>
    </w:p>
    <w:p w14:paraId="0128F4C0" w14:textId="293B7E18" w:rsidR="00244C9C" w:rsidRDefault="00244C9C" w:rsidP="00244C9C">
      <w:pPr>
        <w:pStyle w:val="ListParagraph"/>
        <w:tabs>
          <w:tab w:val="left" w:pos="567"/>
        </w:tabs>
        <w:spacing w:line="480" w:lineRule="auto"/>
        <w:ind w:left="0"/>
        <w:jc w:val="both"/>
        <w:rPr>
          <w:rFonts w:ascii="Bookman Old Style" w:hAnsi="Bookman Old Style"/>
          <w:sz w:val="28"/>
          <w:szCs w:val="28"/>
          <w:lang w:val="el-GR"/>
        </w:rPr>
      </w:pPr>
      <w:r>
        <w:rPr>
          <w:rFonts w:ascii="Bookman Old Style" w:hAnsi="Bookman Old Style"/>
          <w:sz w:val="28"/>
          <w:szCs w:val="28"/>
          <w:lang w:val="el-GR"/>
        </w:rPr>
        <w:tab/>
      </w:r>
      <w:r w:rsidR="009A54A1" w:rsidRPr="009A54A1">
        <w:rPr>
          <w:rFonts w:ascii="Bookman Old Style" w:hAnsi="Bookman Old Style"/>
          <w:sz w:val="28"/>
          <w:szCs w:val="28"/>
          <w:lang w:val="el-GR"/>
        </w:rPr>
        <w:t xml:space="preserve">Ακολούθως το πρωτόδικο Δικαστήριο ασχολήθηκε ειδικά </w:t>
      </w:r>
      <w:r w:rsidR="00B52679">
        <w:rPr>
          <w:rFonts w:ascii="Bookman Old Style" w:hAnsi="Bookman Old Style"/>
          <w:sz w:val="28"/>
          <w:szCs w:val="28"/>
          <w:lang w:val="el-GR"/>
        </w:rPr>
        <w:t>με την κατάσταση λογαριασμού, Τεκμήριο 4, εξηγώντας γιατί ο ΜΕ1 δεν είχε προσωπική, θετική και ολοκληρωμένη γνώση του περιεχόμενου του και δεν μπορούσε να απαντήσει τεκμηριωμένα και με βεβαιότητα για αρκετά θέματα επί τούτου.</w:t>
      </w:r>
    </w:p>
    <w:p w14:paraId="010B6FBD" w14:textId="0DD3607B" w:rsidR="009A54A1" w:rsidRPr="009A54A1" w:rsidRDefault="00B52679" w:rsidP="00244C9C">
      <w:pPr>
        <w:pStyle w:val="ListParagraph"/>
        <w:tabs>
          <w:tab w:val="left" w:pos="567"/>
        </w:tabs>
        <w:spacing w:line="360" w:lineRule="auto"/>
        <w:ind w:left="0"/>
        <w:jc w:val="both"/>
        <w:rPr>
          <w:rFonts w:ascii="Bookman Old Style" w:hAnsi="Bookman Old Style"/>
          <w:sz w:val="28"/>
          <w:szCs w:val="28"/>
          <w:lang w:val="el-GR"/>
        </w:rPr>
      </w:pPr>
      <w:r>
        <w:rPr>
          <w:rFonts w:ascii="Bookman Old Style" w:hAnsi="Bookman Old Style"/>
          <w:sz w:val="28"/>
          <w:szCs w:val="28"/>
          <w:lang w:val="el-GR"/>
        </w:rPr>
        <w:t xml:space="preserve"> </w:t>
      </w:r>
    </w:p>
    <w:p w14:paraId="62C52AD0" w14:textId="4836B2EA" w:rsidR="00725120" w:rsidRDefault="009D39D3" w:rsidP="00244C9C">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Κρίνουμε ότι α</w:t>
      </w:r>
      <w:r w:rsidR="000062F3">
        <w:rPr>
          <w:rFonts w:ascii="Bookman Old Style" w:hAnsi="Bookman Old Style"/>
          <w:sz w:val="28"/>
          <w:szCs w:val="28"/>
          <w:lang w:val="el-GR"/>
        </w:rPr>
        <w:t xml:space="preserve">υτή η αξιολόγηση </w:t>
      </w:r>
      <w:r w:rsidR="006E47FC">
        <w:rPr>
          <w:rFonts w:ascii="Bookman Old Style" w:hAnsi="Bookman Old Style"/>
          <w:sz w:val="28"/>
          <w:szCs w:val="28"/>
          <w:lang w:val="el-GR"/>
        </w:rPr>
        <w:t xml:space="preserve">του ΜΕ1 </w:t>
      </w:r>
      <w:r w:rsidR="000062F3">
        <w:rPr>
          <w:rFonts w:ascii="Bookman Old Style" w:hAnsi="Bookman Old Style"/>
          <w:sz w:val="28"/>
          <w:szCs w:val="28"/>
          <w:lang w:val="el-GR"/>
        </w:rPr>
        <w:t>έγινε με περισσή</w:t>
      </w:r>
      <w:r w:rsidR="006A42B4">
        <w:rPr>
          <w:rFonts w:ascii="Bookman Old Style" w:hAnsi="Bookman Old Style"/>
          <w:sz w:val="28"/>
          <w:szCs w:val="28"/>
          <w:lang w:val="el-GR"/>
        </w:rPr>
        <w:t xml:space="preserve"> </w:t>
      </w:r>
      <w:r w:rsidR="000062F3">
        <w:rPr>
          <w:rFonts w:ascii="Bookman Old Style" w:hAnsi="Bookman Old Style"/>
          <w:sz w:val="28"/>
          <w:szCs w:val="28"/>
          <w:lang w:val="el-GR"/>
        </w:rPr>
        <w:t>σπουδή</w:t>
      </w:r>
      <w:r w:rsidR="00A74462">
        <w:rPr>
          <w:rFonts w:ascii="Bookman Old Style" w:hAnsi="Bookman Old Style"/>
          <w:sz w:val="28"/>
          <w:szCs w:val="28"/>
          <w:lang w:val="el-GR"/>
        </w:rPr>
        <w:t>,</w:t>
      </w:r>
      <w:r w:rsidR="000062F3">
        <w:rPr>
          <w:rFonts w:ascii="Bookman Old Style" w:hAnsi="Bookman Old Style"/>
          <w:sz w:val="28"/>
          <w:szCs w:val="28"/>
          <w:lang w:val="el-GR"/>
        </w:rPr>
        <w:t xml:space="preserve"> αναδεικνύοντας έτσι χωρίς δυσκολία την παντελή αδυναμία του ΜΕ1 να δώσει μια συνεπή και πειστική εκδοχή ως προς το ότι οι Εφεσείοντες συναλλάσσονταν με τον ΚΚ </w:t>
      </w:r>
      <w:r w:rsidR="00A74462">
        <w:rPr>
          <w:rFonts w:ascii="Bookman Old Style" w:hAnsi="Bookman Old Style"/>
          <w:sz w:val="28"/>
          <w:szCs w:val="28"/>
          <w:lang w:val="el-GR"/>
        </w:rPr>
        <w:t xml:space="preserve">προσωπικά </w:t>
      </w:r>
      <w:r w:rsidR="000062F3">
        <w:rPr>
          <w:rFonts w:ascii="Bookman Old Style" w:hAnsi="Bookman Old Style"/>
          <w:sz w:val="28"/>
          <w:szCs w:val="28"/>
          <w:lang w:val="el-GR"/>
        </w:rPr>
        <w:t xml:space="preserve">για όλες τις πωλήσεις εισιτηρίων, ανεξαρτήτως του σε ποιον αφορούσαν. </w:t>
      </w:r>
      <w:r w:rsidR="00961480">
        <w:rPr>
          <w:rFonts w:ascii="Bookman Old Style" w:hAnsi="Bookman Old Style"/>
          <w:sz w:val="28"/>
          <w:szCs w:val="28"/>
          <w:lang w:val="el-GR"/>
        </w:rPr>
        <w:t>Σε αυτά τα πλαίσια</w:t>
      </w:r>
      <w:r w:rsidR="002A0A0C">
        <w:rPr>
          <w:rFonts w:ascii="Bookman Old Style" w:hAnsi="Bookman Old Style"/>
          <w:sz w:val="28"/>
          <w:szCs w:val="28"/>
          <w:lang w:val="el-GR"/>
        </w:rPr>
        <w:t xml:space="preserve"> και όπως φαίνεται ανωτέρω, </w:t>
      </w:r>
      <w:r w:rsidR="00961480">
        <w:rPr>
          <w:rFonts w:ascii="Bookman Old Style" w:hAnsi="Bookman Old Style"/>
          <w:sz w:val="28"/>
          <w:szCs w:val="28"/>
          <w:lang w:val="el-GR"/>
        </w:rPr>
        <w:t xml:space="preserve">το πρωτόδικο Δικαστήριο ασχολήθηκε </w:t>
      </w:r>
      <w:r w:rsidR="009A54A1">
        <w:rPr>
          <w:rFonts w:ascii="Bookman Old Style" w:hAnsi="Bookman Old Style"/>
          <w:sz w:val="28"/>
          <w:szCs w:val="28"/>
          <w:lang w:val="el-GR"/>
        </w:rPr>
        <w:t xml:space="preserve">με το σύνολο της μαρτυρίας του ΜΕ1, καθώς επίσης την κατάσταση </w:t>
      </w:r>
      <w:r w:rsidR="00961480">
        <w:rPr>
          <w:rFonts w:ascii="Bookman Old Style" w:hAnsi="Bookman Old Style"/>
          <w:sz w:val="28"/>
          <w:szCs w:val="28"/>
          <w:lang w:val="el-GR"/>
        </w:rPr>
        <w:t>λογαριασμού, τις επιταγές και τις αποδείξεις πληρωμής, Τεκμήρια 4, 5 και 7</w:t>
      </w:r>
      <w:r w:rsidR="006A42B4">
        <w:rPr>
          <w:rFonts w:ascii="Bookman Old Style" w:hAnsi="Bookman Old Style"/>
          <w:sz w:val="28"/>
          <w:szCs w:val="28"/>
          <w:lang w:val="el-GR"/>
        </w:rPr>
        <w:t>, χωρίς να δ</w:t>
      </w:r>
      <w:r w:rsidR="00184084">
        <w:rPr>
          <w:rFonts w:ascii="Bookman Old Style" w:hAnsi="Bookman Old Style"/>
          <w:sz w:val="28"/>
          <w:szCs w:val="28"/>
          <w:lang w:val="el-GR"/>
        </w:rPr>
        <w:t>ώσ</w:t>
      </w:r>
      <w:r w:rsidR="006A42B4">
        <w:rPr>
          <w:rFonts w:ascii="Bookman Old Style" w:hAnsi="Bookman Old Style"/>
          <w:sz w:val="28"/>
          <w:szCs w:val="28"/>
          <w:lang w:val="el-GR"/>
        </w:rPr>
        <w:t xml:space="preserve">ει υπέρμετρη βαρύτητα στο περιεχόμενο του Τεκμηρίου 4 </w:t>
      </w:r>
      <w:r w:rsidR="007C76B4">
        <w:rPr>
          <w:rFonts w:ascii="Bookman Old Style" w:hAnsi="Bookman Old Style"/>
          <w:sz w:val="28"/>
          <w:szCs w:val="28"/>
          <w:lang w:val="el-GR"/>
        </w:rPr>
        <w:t xml:space="preserve">και </w:t>
      </w:r>
      <w:r w:rsidR="007C76B4">
        <w:rPr>
          <w:rFonts w:ascii="Bookman Old Style" w:hAnsi="Bookman Old Style"/>
          <w:sz w:val="28"/>
          <w:szCs w:val="28"/>
          <w:lang w:val="el-GR"/>
        </w:rPr>
        <w:lastRenderedPageBreak/>
        <w:t xml:space="preserve">παραγνωρίζοντας την υπόλοιπη μαρτυρία </w:t>
      </w:r>
      <w:r w:rsidR="006A42B4">
        <w:rPr>
          <w:rFonts w:ascii="Bookman Old Style" w:hAnsi="Bookman Old Style"/>
          <w:sz w:val="28"/>
          <w:szCs w:val="28"/>
          <w:lang w:val="el-GR"/>
        </w:rPr>
        <w:t>ως η εισήγηση της Υπεράσπισης</w:t>
      </w:r>
      <w:r w:rsidR="00961480">
        <w:rPr>
          <w:rFonts w:ascii="Bookman Old Style" w:hAnsi="Bookman Old Style"/>
          <w:sz w:val="28"/>
          <w:szCs w:val="28"/>
          <w:lang w:val="el-GR"/>
        </w:rPr>
        <w:t>.</w:t>
      </w:r>
      <w:r w:rsidR="00961480" w:rsidRPr="00961480">
        <w:rPr>
          <w:rFonts w:ascii="Bookman Old Style" w:hAnsi="Bookman Old Style"/>
          <w:sz w:val="28"/>
          <w:szCs w:val="28"/>
          <w:lang w:val="el-GR"/>
        </w:rPr>
        <w:t xml:space="preserve"> </w:t>
      </w:r>
    </w:p>
    <w:p w14:paraId="170797D9" w14:textId="7353D9B7" w:rsidR="00FA20A3" w:rsidRDefault="007C76B4" w:rsidP="00244C9C">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Ούτε και κρίνουμε βάσιμη τη θέση της Υπεράσπισης ότι </w:t>
      </w:r>
      <w:r w:rsidR="00790517">
        <w:rPr>
          <w:rFonts w:ascii="Bookman Old Style" w:hAnsi="Bookman Old Style"/>
          <w:sz w:val="28"/>
          <w:szCs w:val="28"/>
          <w:lang w:val="el-GR"/>
        </w:rPr>
        <w:t xml:space="preserve">το πρωτόδικο Δικαστήριο παραγνώρισε </w:t>
      </w:r>
      <w:r w:rsidR="001B0631">
        <w:rPr>
          <w:rFonts w:ascii="Bookman Old Style" w:hAnsi="Bookman Old Style"/>
          <w:sz w:val="28"/>
          <w:szCs w:val="28"/>
          <w:lang w:val="el-GR"/>
        </w:rPr>
        <w:t xml:space="preserve">με οποιονδήποτε τρόπο </w:t>
      </w:r>
      <w:r w:rsidR="00790517">
        <w:rPr>
          <w:rFonts w:ascii="Bookman Old Style" w:hAnsi="Bookman Old Style"/>
          <w:sz w:val="28"/>
          <w:szCs w:val="28"/>
          <w:lang w:val="el-GR"/>
        </w:rPr>
        <w:t xml:space="preserve">την ιδιότητα και σχέση του ΚΚ με την εταιρεία </w:t>
      </w:r>
      <w:r w:rsidR="00181F5A">
        <w:rPr>
          <w:rFonts w:ascii="Bookman Old Style" w:hAnsi="Bookman Old Style"/>
          <w:sz w:val="28"/>
          <w:szCs w:val="28"/>
          <w:lang w:val="el-GR"/>
        </w:rPr>
        <w:t xml:space="preserve">ή </w:t>
      </w:r>
      <w:r w:rsidR="00790517">
        <w:rPr>
          <w:rFonts w:ascii="Bookman Old Style" w:hAnsi="Bookman Old Style"/>
          <w:sz w:val="28"/>
          <w:szCs w:val="28"/>
          <w:lang w:val="el-GR"/>
        </w:rPr>
        <w:t xml:space="preserve">το γεγονός ότι η κατάσταση λογαριασμού, Τεκμήριο 4, περιλαμβάνει εισιτήρια τόσο για επαγγελματικούς όσο και για προσωπικούς και οικογενειακούς λόγους. </w:t>
      </w:r>
      <w:r w:rsidR="00FA20A3">
        <w:rPr>
          <w:rFonts w:ascii="Bookman Old Style" w:hAnsi="Bookman Old Style"/>
          <w:sz w:val="28"/>
          <w:szCs w:val="28"/>
          <w:lang w:val="el-GR"/>
        </w:rPr>
        <w:t xml:space="preserve">Εκείνο το οποίο απασχόλησε ιδιαίτερα το Δικαστήριο είναι το κατά πόσο οι Εφεσείοντες συναλλάσσονταν με τον ΚΚ προσωπικά για την αγορά όλων των </w:t>
      </w:r>
      <w:r w:rsidR="00FD2D01">
        <w:rPr>
          <w:rFonts w:ascii="Bookman Old Style" w:hAnsi="Bookman Old Style"/>
          <w:sz w:val="28"/>
          <w:szCs w:val="28"/>
          <w:lang w:val="el-GR"/>
        </w:rPr>
        <w:t>εισιτηρίων</w:t>
      </w:r>
      <w:r w:rsidR="00FA20A3">
        <w:rPr>
          <w:rFonts w:ascii="Bookman Old Style" w:hAnsi="Bookman Old Style"/>
          <w:sz w:val="28"/>
          <w:szCs w:val="28"/>
          <w:lang w:val="el-GR"/>
        </w:rPr>
        <w:t xml:space="preserve">, ως η προβαλλόμενη εκδοχή τους, για το οποίο το Δικαστήριο κατέληξε ότι ο ΜΕ1 δεν έδωσε αξιόπιστη μαρτυρία. </w:t>
      </w:r>
    </w:p>
    <w:p w14:paraId="037499EB" w14:textId="11FF3CBB" w:rsidR="00824BB9" w:rsidRPr="00BB7352" w:rsidRDefault="00FA20A3" w:rsidP="00244C9C">
      <w:pPr>
        <w:spacing w:before="240" w:line="480" w:lineRule="auto"/>
        <w:ind w:firstLine="567"/>
        <w:jc w:val="both"/>
        <w:rPr>
          <w:lang w:val="el-GR"/>
        </w:rPr>
      </w:pPr>
      <w:r>
        <w:rPr>
          <w:rFonts w:ascii="Bookman Old Style" w:hAnsi="Bookman Old Style"/>
          <w:sz w:val="28"/>
          <w:szCs w:val="28"/>
          <w:lang w:val="el-GR"/>
        </w:rPr>
        <w:t xml:space="preserve">Η ιδιότητα του ΚΚ στην εταιρεία και η συμπερίληψη όλων των εισιτηρίων </w:t>
      </w:r>
      <w:r w:rsidR="00824BB9">
        <w:rPr>
          <w:rFonts w:ascii="Bookman Old Style" w:hAnsi="Bookman Old Style"/>
          <w:sz w:val="28"/>
          <w:szCs w:val="28"/>
          <w:lang w:val="el-GR"/>
        </w:rPr>
        <w:t xml:space="preserve">σε μια κατάσταση λογαριασμού δεν οδηγεί από μόνη της στο συμπέρασμα ότι </w:t>
      </w:r>
      <w:r w:rsidR="006D3687">
        <w:rPr>
          <w:rFonts w:ascii="Bookman Old Style" w:hAnsi="Bookman Old Style"/>
          <w:sz w:val="28"/>
          <w:szCs w:val="28"/>
          <w:lang w:val="el-GR"/>
        </w:rPr>
        <w:t xml:space="preserve">ο ΚΚ αντιμετώπιζε τα προσωπικά και επαγγελματικά του έξοδα ως ένα και το αυτό και ότι </w:t>
      </w:r>
      <w:r w:rsidR="00824BB9">
        <w:rPr>
          <w:rFonts w:ascii="Bookman Old Style" w:hAnsi="Bookman Old Style"/>
          <w:sz w:val="28"/>
          <w:szCs w:val="28"/>
          <w:lang w:val="el-GR"/>
        </w:rPr>
        <w:t xml:space="preserve">ο ΚΚ και η εταιρεία είναι ένα και το αυτό πρόσωπο. Είναι γνωστό ότι </w:t>
      </w:r>
      <w:r w:rsidR="00BB7352">
        <w:rPr>
          <w:rFonts w:ascii="Bookman Old Style" w:hAnsi="Bookman Old Style"/>
          <w:sz w:val="28"/>
          <w:szCs w:val="28"/>
          <w:lang w:val="el-GR"/>
        </w:rPr>
        <w:t>το νομικό πρόσωπο είναι ανεξάρτητη οντότητα από τα φυσικά πρόσωπα και ως τέτοια έχει τις δικές της υποχρεώσεις και ευθύνες</w:t>
      </w:r>
      <w:r w:rsidR="00242C9A">
        <w:rPr>
          <w:rFonts w:ascii="Bookman Old Style" w:hAnsi="Bookman Old Style"/>
          <w:sz w:val="28"/>
          <w:szCs w:val="28"/>
          <w:lang w:val="el-GR"/>
        </w:rPr>
        <w:t xml:space="preserve"> και τη δυνατότητα του συμβάλλεσθαι</w:t>
      </w:r>
      <w:r w:rsidR="00BB7352">
        <w:rPr>
          <w:rFonts w:ascii="Bookman Old Style" w:hAnsi="Bookman Old Style"/>
          <w:sz w:val="28"/>
          <w:szCs w:val="28"/>
          <w:lang w:val="el-GR"/>
        </w:rPr>
        <w:t xml:space="preserve">. Σχετική </w:t>
      </w:r>
      <w:r w:rsidR="00BB7352">
        <w:rPr>
          <w:rFonts w:ascii="Bookman Old Style" w:hAnsi="Bookman Old Style"/>
          <w:sz w:val="28"/>
          <w:szCs w:val="28"/>
          <w:lang w:val="el-GR"/>
        </w:rPr>
        <w:lastRenderedPageBreak/>
        <w:t xml:space="preserve">είναι η υπόθεση </w:t>
      </w:r>
      <w:r w:rsidR="00BB7352" w:rsidRPr="00BB7352">
        <w:rPr>
          <w:rFonts w:ascii="Bookman Old Style" w:hAnsi="Bookman Old Style"/>
          <w:b/>
          <w:bCs/>
          <w:sz w:val="28"/>
          <w:szCs w:val="28"/>
        </w:rPr>
        <w:t>Exalco</w:t>
      </w:r>
      <w:r w:rsidR="00BB7352" w:rsidRPr="00BB7352">
        <w:rPr>
          <w:rFonts w:ascii="Bookman Old Style" w:hAnsi="Bookman Old Style"/>
          <w:b/>
          <w:bCs/>
          <w:sz w:val="28"/>
          <w:szCs w:val="28"/>
          <w:lang w:val="el-GR"/>
        </w:rPr>
        <w:t xml:space="preserve"> </w:t>
      </w:r>
      <w:r w:rsidR="00BB7352" w:rsidRPr="00BB7352">
        <w:rPr>
          <w:rFonts w:ascii="Bookman Old Style" w:hAnsi="Bookman Old Style"/>
          <w:b/>
          <w:bCs/>
          <w:sz w:val="28"/>
          <w:szCs w:val="28"/>
        </w:rPr>
        <w:t>S</w:t>
      </w:r>
      <w:r w:rsidR="00BB7352" w:rsidRPr="00BB7352">
        <w:rPr>
          <w:rFonts w:ascii="Bookman Old Style" w:hAnsi="Bookman Old Style"/>
          <w:b/>
          <w:bCs/>
          <w:sz w:val="28"/>
          <w:szCs w:val="28"/>
          <w:lang w:val="el-GR"/>
        </w:rPr>
        <w:t>.</w:t>
      </w:r>
      <w:r w:rsidR="00BB7352" w:rsidRPr="00BB7352">
        <w:rPr>
          <w:rFonts w:ascii="Bookman Old Style" w:hAnsi="Bookman Old Style"/>
          <w:b/>
          <w:bCs/>
          <w:sz w:val="28"/>
          <w:szCs w:val="28"/>
        </w:rPr>
        <w:t>A</w:t>
      </w:r>
      <w:r w:rsidR="00BB7352" w:rsidRPr="00BB7352">
        <w:rPr>
          <w:rFonts w:ascii="Bookman Old Style" w:hAnsi="Bookman Old Style"/>
          <w:b/>
          <w:bCs/>
          <w:sz w:val="28"/>
          <w:szCs w:val="28"/>
          <w:lang w:val="el-GR"/>
        </w:rPr>
        <w:t xml:space="preserve">. </w:t>
      </w:r>
      <w:r w:rsidR="00BB7352" w:rsidRPr="00BB7352">
        <w:rPr>
          <w:rFonts w:ascii="Bookman Old Style" w:hAnsi="Bookman Old Style"/>
          <w:b/>
          <w:bCs/>
          <w:sz w:val="28"/>
          <w:szCs w:val="28"/>
        </w:rPr>
        <w:t>v</w:t>
      </w:r>
      <w:r w:rsidR="00BB7352" w:rsidRPr="00BB7352">
        <w:rPr>
          <w:rFonts w:ascii="Bookman Old Style" w:hAnsi="Bookman Old Style"/>
          <w:b/>
          <w:bCs/>
          <w:sz w:val="28"/>
          <w:szCs w:val="28"/>
          <w:lang w:val="el-GR"/>
        </w:rPr>
        <w:t>. Αλουμινέξ Λτδ κ.ά.</w:t>
      </w:r>
      <w:r w:rsidR="00BB7352">
        <w:rPr>
          <w:rFonts w:ascii="Bookman Old Style" w:hAnsi="Bookman Old Style"/>
          <w:sz w:val="28"/>
          <w:szCs w:val="28"/>
          <w:lang w:val="el-GR"/>
        </w:rPr>
        <w:t xml:space="preserve"> </w:t>
      </w:r>
      <w:r w:rsidR="00BB7352" w:rsidRPr="00BB7352">
        <w:rPr>
          <w:rFonts w:ascii="Bookman Old Style" w:hAnsi="Bookman Old Style"/>
          <w:b/>
          <w:bCs/>
          <w:sz w:val="28"/>
          <w:szCs w:val="28"/>
          <w:lang w:val="el-GR"/>
        </w:rPr>
        <w:t>(2007) 1(Β) Α.Α.Δ. 991</w:t>
      </w:r>
      <w:r w:rsidR="00BB7352" w:rsidRPr="00BF4960">
        <w:rPr>
          <w:rFonts w:ascii="Bookman Old Style" w:hAnsi="Bookman Old Style"/>
          <w:sz w:val="28"/>
          <w:szCs w:val="28"/>
          <w:lang w:val="el-GR"/>
        </w:rPr>
        <w:t>.</w:t>
      </w:r>
      <w:r w:rsidR="006D3687">
        <w:rPr>
          <w:rFonts w:ascii="Bookman Old Style" w:hAnsi="Bookman Old Style"/>
          <w:sz w:val="28"/>
          <w:szCs w:val="28"/>
          <w:lang w:val="el-GR"/>
        </w:rPr>
        <w:t xml:space="preserve"> </w:t>
      </w:r>
    </w:p>
    <w:p w14:paraId="3B16DA78" w14:textId="6A613243" w:rsidR="00CC294E" w:rsidRDefault="00244C9C" w:rsidP="00244C9C">
      <w:pPr>
        <w:tabs>
          <w:tab w:val="left" w:pos="567"/>
        </w:tabs>
        <w:spacing w:before="240" w:line="480" w:lineRule="auto"/>
        <w:ind w:right="62"/>
        <w:jc w:val="both"/>
        <w:rPr>
          <w:rFonts w:ascii="Bookman Old Style" w:hAnsi="Bookman Old Style"/>
          <w:sz w:val="28"/>
          <w:szCs w:val="28"/>
          <w:lang w:val="el-GR"/>
        </w:rPr>
      </w:pPr>
      <w:r>
        <w:rPr>
          <w:rFonts w:ascii="Bookman Old Style" w:hAnsi="Bookman Old Style"/>
          <w:sz w:val="28"/>
          <w:szCs w:val="28"/>
          <w:lang w:val="el-GR"/>
        </w:rPr>
        <w:tab/>
      </w:r>
      <w:r w:rsidR="00F229D4">
        <w:rPr>
          <w:rFonts w:ascii="Bookman Old Style" w:hAnsi="Bookman Old Style"/>
          <w:sz w:val="28"/>
          <w:szCs w:val="28"/>
          <w:lang w:val="el-GR"/>
        </w:rPr>
        <w:t>Από τη στιγμή που το πρωτόδικο Δικαστήριο έκρινε τις εξηγήσεις του ΜΕ1 ως αντιφατικές και μη πειστικές,</w:t>
      </w:r>
      <w:r w:rsidR="00790517">
        <w:rPr>
          <w:rFonts w:ascii="Bookman Old Style" w:hAnsi="Bookman Old Style"/>
          <w:sz w:val="28"/>
          <w:szCs w:val="28"/>
          <w:lang w:val="el-GR"/>
        </w:rPr>
        <w:t xml:space="preserve"> </w:t>
      </w:r>
      <w:r w:rsidR="00F229D4">
        <w:rPr>
          <w:rFonts w:ascii="Bookman Old Style" w:hAnsi="Bookman Old Style"/>
          <w:sz w:val="28"/>
          <w:szCs w:val="28"/>
          <w:lang w:val="el-GR"/>
        </w:rPr>
        <w:t xml:space="preserve">η </w:t>
      </w:r>
      <w:r w:rsidR="00790517">
        <w:rPr>
          <w:rFonts w:ascii="Bookman Old Style" w:hAnsi="Bookman Old Style"/>
          <w:sz w:val="28"/>
          <w:szCs w:val="28"/>
          <w:lang w:val="el-GR"/>
        </w:rPr>
        <w:t xml:space="preserve">αναγραφή στην κατάσταση </w:t>
      </w:r>
      <w:r w:rsidR="00D21C08">
        <w:rPr>
          <w:rFonts w:ascii="Bookman Old Style" w:hAnsi="Bookman Old Style"/>
          <w:sz w:val="28"/>
          <w:szCs w:val="28"/>
          <w:lang w:val="el-GR"/>
        </w:rPr>
        <w:t xml:space="preserve">λογαριασμού </w:t>
      </w:r>
      <w:r w:rsidR="00790517">
        <w:rPr>
          <w:rFonts w:ascii="Bookman Old Style" w:hAnsi="Bookman Old Style"/>
          <w:sz w:val="28"/>
          <w:szCs w:val="28"/>
          <w:lang w:val="el-GR"/>
        </w:rPr>
        <w:t xml:space="preserve">των ονομάτων της εταιρείας και του ΚΚ δεν </w:t>
      </w:r>
      <w:r w:rsidR="00F229D4">
        <w:rPr>
          <w:rFonts w:ascii="Bookman Old Style" w:hAnsi="Bookman Old Style"/>
          <w:sz w:val="28"/>
          <w:szCs w:val="28"/>
          <w:lang w:val="el-GR"/>
        </w:rPr>
        <w:t xml:space="preserve">μπορούσε από μόνη της να γίνει </w:t>
      </w:r>
      <w:r w:rsidR="00790517">
        <w:rPr>
          <w:rFonts w:ascii="Bookman Old Style" w:hAnsi="Bookman Old Style"/>
          <w:sz w:val="28"/>
          <w:szCs w:val="28"/>
          <w:lang w:val="el-GR"/>
        </w:rPr>
        <w:t xml:space="preserve">δεκτή ότι αντικατοπτρίζει τη συμφωνία μεταξύ και των </w:t>
      </w:r>
      <w:r w:rsidR="00D21C08">
        <w:rPr>
          <w:rFonts w:ascii="Bookman Old Style" w:hAnsi="Bookman Old Style"/>
          <w:sz w:val="28"/>
          <w:szCs w:val="28"/>
          <w:lang w:val="el-GR"/>
        </w:rPr>
        <w:t>Εφεσειόντων και του ΚΚ</w:t>
      </w:r>
      <w:r w:rsidR="00790517">
        <w:rPr>
          <w:rFonts w:ascii="Bookman Old Style" w:hAnsi="Bookman Old Style"/>
          <w:sz w:val="28"/>
          <w:szCs w:val="28"/>
          <w:lang w:val="el-GR"/>
        </w:rPr>
        <w:t xml:space="preserve">. Μάλιστα, </w:t>
      </w:r>
      <w:r w:rsidR="00D21C08">
        <w:rPr>
          <w:rFonts w:ascii="Bookman Old Style" w:hAnsi="Bookman Old Style"/>
          <w:sz w:val="28"/>
          <w:szCs w:val="28"/>
          <w:lang w:val="el-GR"/>
        </w:rPr>
        <w:t xml:space="preserve">σημειώνουμε πως </w:t>
      </w:r>
      <w:r w:rsidR="00790517">
        <w:rPr>
          <w:rFonts w:ascii="Bookman Old Style" w:hAnsi="Bookman Old Style"/>
          <w:sz w:val="28"/>
          <w:szCs w:val="28"/>
          <w:lang w:val="el-GR"/>
        </w:rPr>
        <w:t xml:space="preserve">δεν υπήρχε μαρτυρία περί αποστολής της εν λόγω κατάστασης </w:t>
      </w:r>
      <w:r w:rsidR="00D21C08">
        <w:rPr>
          <w:rFonts w:ascii="Bookman Old Style" w:hAnsi="Bookman Old Style"/>
          <w:sz w:val="28"/>
          <w:szCs w:val="28"/>
          <w:lang w:val="el-GR"/>
        </w:rPr>
        <w:t>σ</w:t>
      </w:r>
      <w:r w:rsidR="00790517">
        <w:rPr>
          <w:rFonts w:ascii="Bookman Old Style" w:hAnsi="Bookman Old Style"/>
          <w:sz w:val="28"/>
          <w:szCs w:val="28"/>
          <w:lang w:val="el-GR"/>
        </w:rPr>
        <w:t>τον ΚΚ</w:t>
      </w:r>
      <w:r w:rsidR="00D21C08">
        <w:rPr>
          <w:rFonts w:ascii="Bookman Old Style" w:hAnsi="Bookman Old Style"/>
          <w:sz w:val="28"/>
          <w:szCs w:val="28"/>
          <w:lang w:val="el-GR"/>
        </w:rPr>
        <w:t xml:space="preserve"> και αποδοχής αυτής εκ μέρους του</w:t>
      </w:r>
      <w:r w:rsidR="00790517">
        <w:rPr>
          <w:rFonts w:ascii="Bookman Old Style" w:hAnsi="Bookman Old Style"/>
          <w:sz w:val="28"/>
          <w:szCs w:val="28"/>
          <w:lang w:val="el-GR"/>
        </w:rPr>
        <w:t xml:space="preserve">. Τα </w:t>
      </w:r>
      <w:r w:rsidR="00D21C08">
        <w:rPr>
          <w:rFonts w:ascii="Bookman Old Style" w:hAnsi="Bookman Old Style"/>
          <w:sz w:val="28"/>
          <w:szCs w:val="28"/>
          <w:lang w:val="el-GR"/>
        </w:rPr>
        <w:t xml:space="preserve">δε </w:t>
      </w:r>
      <w:r w:rsidR="00790517">
        <w:rPr>
          <w:rFonts w:ascii="Bookman Old Style" w:hAnsi="Bookman Old Style"/>
          <w:sz w:val="28"/>
          <w:szCs w:val="28"/>
          <w:lang w:val="el-GR"/>
        </w:rPr>
        <w:t xml:space="preserve">τιμολόγια τα οποία εκδίδονταν </w:t>
      </w:r>
      <w:r w:rsidR="00DD5704">
        <w:rPr>
          <w:rFonts w:ascii="Bookman Old Style" w:hAnsi="Bookman Old Style"/>
          <w:sz w:val="28"/>
          <w:szCs w:val="28"/>
          <w:lang w:val="el-GR"/>
        </w:rPr>
        <w:t xml:space="preserve">βάσει της εν λόγω κατάστασης </w:t>
      </w:r>
      <w:r w:rsidR="00790517">
        <w:rPr>
          <w:rFonts w:ascii="Bookman Old Style" w:hAnsi="Bookman Old Style"/>
          <w:sz w:val="28"/>
          <w:szCs w:val="28"/>
          <w:lang w:val="el-GR"/>
        </w:rPr>
        <w:t xml:space="preserve">και στα οποία αναφέρθηκε ο ΜΕ1 δεν παρουσιάστηκαν κατά την ακρόαση της Αγωγής. </w:t>
      </w:r>
    </w:p>
    <w:p w14:paraId="746E97AC" w14:textId="12812626" w:rsidR="000A200B" w:rsidRDefault="00A93557" w:rsidP="00244C9C">
      <w:pPr>
        <w:spacing w:before="240" w:line="480" w:lineRule="auto"/>
        <w:ind w:right="62" w:firstLine="567"/>
        <w:jc w:val="both"/>
        <w:rPr>
          <w:rFonts w:ascii="Bookman Old Style" w:eastAsia="Times New Roman" w:hAnsi="Bookman Old Style" w:cs="Times New Roman"/>
          <w:color w:val="000000"/>
          <w:kern w:val="0"/>
          <w:sz w:val="28"/>
          <w:szCs w:val="28"/>
          <w:lang w:val="el-GR"/>
          <w14:ligatures w14:val="none"/>
        </w:rPr>
      </w:pPr>
      <w:r>
        <w:rPr>
          <w:rFonts w:ascii="Bookman Old Style" w:hAnsi="Bookman Old Style"/>
          <w:sz w:val="28"/>
          <w:szCs w:val="28"/>
          <w:lang w:val="el-GR"/>
        </w:rPr>
        <w:t xml:space="preserve">Στην υπόθεση </w:t>
      </w:r>
      <w:r w:rsidRPr="001D0A75">
        <w:rPr>
          <w:rFonts w:ascii="Bookman Old Style" w:hAnsi="Bookman Old Style"/>
          <w:b/>
          <w:bCs/>
          <w:i/>
          <w:iCs/>
          <w:color w:val="000000"/>
          <w:sz w:val="28"/>
          <w:szCs w:val="28"/>
          <w:lang w:val="el-GR"/>
        </w:rPr>
        <w:t xml:space="preserve">Παναγιώτης Μαστρής Λτδ </w:t>
      </w:r>
      <w:r w:rsidRPr="001D0A75">
        <w:rPr>
          <w:rFonts w:ascii="Bookman Old Style" w:hAnsi="Bookman Old Style"/>
          <w:b/>
          <w:bCs/>
          <w:i/>
          <w:iCs/>
          <w:color w:val="000000"/>
          <w:sz w:val="28"/>
          <w:szCs w:val="28"/>
        </w:rPr>
        <w:t>v</w:t>
      </w:r>
      <w:r w:rsidRPr="001D0A75">
        <w:rPr>
          <w:rFonts w:ascii="Bookman Old Style" w:hAnsi="Bookman Old Style"/>
          <w:b/>
          <w:bCs/>
          <w:i/>
          <w:iCs/>
          <w:color w:val="000000"/>
          <w:sz w:val="28"/>
          <w:szCs w:val="28"/>
          <w:lang w:val="el-GR"/>
        </w:rPr>
        <w:t>. Επιπλώσεις Λάσκο Λτδ (2006) 1(Α) Α.Α.Δ. 728</w:t>
      </w:r>
      <w:r>
        <w:rPr>
          <w:rFonts w:ascii="Bookman Old Style" w:hAnsi="Bookman Old Style"/>
          <w:color w:val="000000"/>
          <w:sz w:val="28"/>
          <w:szCs w:val="28"/>
          <w:lang w:val="el-GR"/>
        </w:rPr>
        <w:t xml:space="preserve"> </w:t>
      </w:r>
      <w:r w:rsidR="002D7093">
        <w:rPr>
          <w:rFonts w:ascii="Bookman Old Style" w:hAnsi="Bookman Old Style"/>
          <w:color w:val="000000"/>
          <w:sz w:val="28"/>
          <w:szCs w:val="28"/>
          <w:lang w:val="el-GR"/>
        </w:rPr>
        <w:t>λέχθηκ</w:t>
      </w:r>
      <w:r>
        <w:rPr>
          <w:rFonts w:ascii="Bookman Old Style" w:hAnsi="Bookman Old Style"/>
          <w:color w:val="000000"/>
          <w:sz w:val="28"/>
          <w:szCs w:val="28"/>
          <w:lang w:val="el-GR"/>
        </w:rPr>
        <w:t>ε ότι «</w:t>
      </w:r>
      <w:r w:rsidRPr="00244C9C">
        <w:rPr>
          <w:rFonts w:ascii="Bookman Old Style" w:hAnsi="Bookman Old Style"/>
          <w:i/>
          <w:iCs/>
          <w:color w:val="000000"/>
          <w:sz w:val="28"/>
          <w:szCs w:val="28"/>
          <w:lang w:val="el-GR"/>
        </w:rPr>
        <w:t>ο</w:t>
      </w:r>
      <w:r w:rsidRPr="00244C9C">
        <w:rPr>
          <w:rFonts w:ascii="Bookman Old Style" w:eastAsia="Times New Roman" w:hAnsi="Bookman Old Style" w:cs="Times New Roman"/>
          <w:i/>
          <w:iCs/>
          <w:color w:val="000000"/>
          <w:kern w:val="0"/>
          <w:sz w:val="28"/>
          <w:szCs w:val="28"/>
          <w:lang w:val="el-GR"/>
          <w14:ligatures w14:val="none"/>
        </w:rPr>
        <w:t>ι λογαριασμοί εμπορευομένου δεν αποτελούν αφ’ εαυτών απόδειξη των γεγονότων που καταγράφουν. Τα γεγονότα που απεικονίζουν πρέπει να αποδειχθούν. Θέμα απόσεισης αποδεικτικού βάρους μπορεί να εγερθεί μόνο όπου αποδεικνύονται γεγονότα τα οποία τείνουν να υποστηρίξουν την απαίτηση</w:t>
      </w:r>
      <w:r>
        <w:rPr>
          <w:rFonts w:ascii="Bookman Old Style" w:eastAsia="Times New Roman" w:hAnsi="Bookman Old Style" w:cs="Times New Roman"/>
          <w:color w:val="000000"/>
          <w:kern w:val="0"/>
          <w:sz w:val="28"/>
          <w:szCs w:val="28"/>
          <w:lang w:val="el-GR"/>
          <w14:ligatures w14:val="none"/>
        </w:rPr>
        <w:t>»</w:t>
      </w:r>
      <w:r w:rsidR="000A200B">
        <w:rPr>
          <w:rFonts w:ascii="Bookman Old Style" w:eastAsia="Times New Roman" w:hAnsi="Bookman Old Style" w:cs="Times New Roman"/>
          <w:color w:val="000000"/>
          <w:kern w:val="0"/>
          <w:sz w:val="28"/>
          <w:szCs w:val="28"/>
          <w:lang w:val="el-GR"/>
          <w14:ligatures w14:val="none"/>
        </w:rPr>
        <w:t xml:space="preserve">. </w:t>
      </w:r>
    </w:p>
    <w:p w14:paraId="19A71A39" w14:textId="01BFFDA8" w:rsidR="006F1A13" w:rsidRPr="006F1A13" w:rsidRDefault="00244C9C" w:rsidP="00244C9C">
      <w:pPr>
        <w:tabs>
          <w:tab w:val="left" w:pos="567"/>
        </w:tabs>
        <w:spacing w:before="240" w:line="480" w:lineRule="auto"/>
        <w:jc w:val="both"/>
        <w:rPr>
          <w:rFonts w:ascii="Bookman Old Style" w:hAnsi="Bookman Old Style"/>
          <w:sz w:val="28"/>
          <w:szCs w:val="28"/>
          <w:lang w:val="el-GR"/>
        </w:rPr>
      </w:pPr>
      <w:r>
        <w:rPr>
          <w:rFonts w:ascii="Bookman Old Style" w:hAnsi="Bookman Old Style"/>
          <w:sz w:val="28"/>
          <w:szCs w:val="28"/>
          <w:lang w:val="el-GR"/>
        </w:rPr>
        <w:lastRenderedPageBreak/>
        <w:tab/>
      </w:r>
      <w:r w:rsidR="006F1A13">
        <w:rPr>
          <w:rFonts w:ascii="Bookman Old Style" w:hAnsi="Bookman Old Style"/>
          <w:sz w:val="28"/>
          <w:szCs w:val="28"/>
          <w:lang w:val="el-GR"/>
        </w:rPr>
        <w:t xml:space="preserve">Η πληρωμή με τις 14 προσωπικές επιταγές του ΚΚ, Τεκμήριο 4, δεν υποδηλοί αφ’ εαυτής τη σύναψη συμφωνίας μεταξύ των Εφεσειόντων και του ΚΚ προσωπικά, κυρίως εφόσον το Δικαστήριο έκρινε ότι δεν υπήρχε αξιόπιστη μαρτυρία ως προς αυτή τη θέση. Ούτε και εγείρεται ζήτημα ανάληψης υποχρέωσης πληρωμής των εισιτηρίων από τον ΚΚ, καθότι η βάση της απαίτησης δεν είναι η ανάληψη υποχρέωσης πληρωμής </w:t>
      </w:r>
      <w:r w:rsidR="001D0A75">
        <w:rPr>
          <w:rFonts w:ascii="Bookman Old Style" w:hAnsi="Bookman Old Style"/>
          <w:sz w:val="28"/>
          <w:szCs w:val="28"/>
          <w:lang w:val="el-GR"/>
        </w:rPr>
        <w:t xml:space="preserve">για οφειλή τρίτου </w:t>
      </w:r>
      <w:r w:rsidR="006F1A13">
        <w:rPr>
          <w:rFonts w:ascii="Bookman Old Style" w:hAnsi="Bookman Old Style"/>
          <w:sz w:val="28"/>
          <w:szCs w:val="28"/>
          <w:lang w:val="el-GR"/>
        </w:rPr>
        <w:t xml:space="preserve">αλλά η συμφωνία για αγορά εισιτηρίων μεταξύ των Εφεσειόντων και του ΚΚ. </w:t>
      </w:r>
      <w:r w:rsidR="0044707B">
        <w:rPr>
          <w:rFonts w:ascii="Bookman Old Style" w:hAnsi="Bookman Old Style"/>
          <w:sz w:val="28"/>
          <w:szCs w:val="28"/>
          <w:lang w:val="el-GR"/>
        </w:rPr>
        <w:t xml:space="preserve">Σχετικά παραπέμπουμε στην προαναφερόμενη </w:t>
      </w:r>
      <w:r w:rsidR="006F1A13">
        <w:rPr>
          <w:rFonts w:ascii="Bookman Old Style" w:hAnsi="Bookman Old Style"/>
          <w:sz w:val="28"/>
          <w:szCs w:val="28"/>
          <w:lang w:val="el-GR"/>
        </w:rPr>
        <w:t xml:space="preserve">υπόθεση </w:t>
      </w:r>
      <w:r w:rsidR="006F1A13" w:rsidRPr="001D0A75">
        <w:rPr>
          <w:rFonts w:ascii="Bookman Old Style" w:hAnsi="Bookman Old Style"/>
          <w:i/>
          <w:iCs/>
          <w:sz w:val="28"/>
          <w:szCs w:val="28"/>
        </w:rPr>
        <w:t>Exalco</w:t>
      </w:r>
      <w:r w:rsidR="006F1A13" w:rsidRPr="001D0A75">
        <w:rPr>
          <w:rFonts w:ascii="Bookman Old Style" w:hAnsi="Bookman Old Style"/>
          <w:i/>
          <w:iCs/>
          <w:sz w:val="28"/>
          <w:szCs w:val="28"/>
          <w:lang w:val="el-GR"/>
        </w:rPr>
        <w:t xml:space="preserve"> </w:t>
      </w:r>
      <w:r w:rsidR="006F1A13" w:rsidRPr="001D0A75">
        <w:rPr>
          <w:rFonts w:ascii="Bookman Old Style" w:hAnsi="Bookman Old Style"/>
          <w:i/>
          <w:iCs/>
          <w:sz w:val="28"/>
          <w:szCs w:val="28"/>
        </w:rPr>
        <w:t>S</w:t>
      </w:r>
      <w:r w:rsidR="006F1A13" w:rsidRPr="001D0A75">
        <w:rPr>
          <w:rFonts w:ascii="Bookman Old Style" w:hAnsi="Bookman Old Style"/>
          <w:i/>
          <w:iCs/>
          <w:sz w:val="28"/>
          <w:szCs w:val="28"/>
          <w:lang w:val="el-GR"/>
        </w:rPr>
        <w:t>.</w:t>
      </w:r>
      <w:r w:rsidR="006F1A13" w:rsidRPr="001D0A75">
        <w:rPr>
          <w:rFonts w:ascii="Bookman Old Style" w:hAnsi="Bookman Old Style"/>
          <w:i/>
          <w:iCs/>
          <w:sz w:val="28"/>
          <w:szCs w:val="28"/>
        </w:rPr>
        <w:t>A</w:t>
      </w:r>
      <w:r w:rsidR="006F1A13" w:rsidRPr="001D0A75">
        <w:rPr>
          <w:rFonts w:ascii="Bookman Old Style" w:hAnsi="Bookman Old Style"/>
          <w:i/>
          <w:iCs/>
          <w:sz w:val="28"/>
          <w:szCs w:val="28"/>
          <w:lang w:val="el-GR"/>
        </w:rPr>
        <w:t>. (</w:t>
      </w:r>
      <w:r w:rsidR="0044707B" w:rsidRPr="001D0A75">
        <w:rPr>
          <w:rFonts w:ascii="Bookman Old Style" w:hAnsi="Bookman Old Style"/>
          <w:i/>
          <w:iCs/>
          <w:sz w:val="28"/>
          <w:szCs w:val="28"/>
          <w:lang w:val="el-GR"/>
        </w:rPr>
        <w:t>ανωτέρω</w:t>
      </w:r>
      <w:r w:rsidR="006F1A13" w:rsidRPr="001D0A75">
        <w:rPr>
          <w:rFonts w:ascii="Bookman Old Style" w:hAnsi="Bookman Old Style"/>
          <w:i/>
          <w:iCs/>
          <w:sz w:val="28"/>
          <w:szCs w:val="28"/>
          <w:lang w:val="el-GR"/>
        </w:rPr>
        <w:t>)</w:t>
      </w:r>
      <w:r w:rsidR="006F1A13" w:rsidRPr="00BF4960">
        <w:rPr>
          <w:rFonts w:ascii="Bookman Old Style" w:hAnsi="Bookman Old Style"/>
          <w:sz w:val="28"/>
          <w:szCs w:val="28"/>
          <w:lang w:val="el-GR"/>
        </w:rPr>
        <w:t>.</w:t>
      </w:r>
      <w:r w:rsidR="00DE3167">
        <w:rPr>
          <w:rFonts w:ascii="Bookman Old Style" w:hAnsi="Bookman Old Style"/>
          <w:sz w:val="28"/>
          <w:szCs w:val="28"/>
          <w:lang w:val="el-GR"/>
        </w:rPr>
        <w:t xml:space="preserve"> </w:t>
      </w:r>
      <w:r w:rsidR="00440A16">
        <w:rPr>
          <w:rFonts w:ascii="Bookman Old Style" w:hAnsi="Bookman Old Style"/>
          <w:sz w:val="28"/>
          <w:szCs w:val="28"/>
          <w:lang w:val="el-GR"/>
        </w:rPr>
        <w:t xml:space="preserve">Υπενθυμίζεται επίσης πως </w:t>
      </w:r>
      <w:r w:rsidR="006F1A13">
        <w:rPr>
          <w:rFonts w:ascii="Bookman Old Style" w:hAnsi="Bookman Old Style"/>
          <w:sz w:val="28"/>
          <w:szCs w:val="28"/>
          <w:lang w:val="el-GR"/>
        </w:rPr>
        <w:t xml:space="preserve">οι αποδείξεις πληρωμής για τις </w:t>
      </w:r>
      <w:r w:rsidR="00955B51">
        <w:rPr>
          <w:rFonts w:ascii="Bookman Old Style" w:hAnsi="Bookman Old Style"/>
          <w:sz w:val="28"/>
          <w:szCs w:val="28"/>
          <w:lang w:val="el-GR"/>
        </w:rPr>
        <w:t>εν λόγω</w:t>
      </w:r>
      <w:r w:rsidR="006F1A13">
        <w:rPr>
          <w:rFonts w:ascii="Bookman Old Style" w:hAnsi="Bookman Old Style"/>
          <w:sz w:val="28"/>
          <w:szCs w:val="28"/>
          <w:lang w:val="el-GR"/>
        </w:rPr>
        <w:t xml:space="preserve"> επιταγές εκδόθηκαν στο όνομα της εταιρείας</w:t>
      </w:r>
      <w:r w:rsidR="00765477">
        <w:rPr>
          <w:rFonts w:ascii="Bookman Old Style" w:hAnsi="Bookman Old Style"/>
          <w:sz w:val="28"/>
          <w:szCs w:val="28"/>
          <w:lang w:val="el-GR"/>
        </w:rPr>
        <w:t xml:space="preserve"> </w:t>
      </w:r>
      <w:r w:rsidR="00DE3167">
        <w:rPr>
          <w:rFonts w:ascii="Bookman Old Style" w:hAnsi="Bookman Old Style"/>
          <w:sz w:val="28"/>
          <w:szCs w:val="28"/>
          <w:lang w:val="el-GR"/>
        </w:rPr>
        <w:t xml:space="preserve">και το πρωτόδικο Δικαστήριο δεν έκρινε </w:t>
      </w:r>
      <w:r w:rsidR="00765477">
        <w:rPr>
          <w:rFonts w:ascii="Bookman Old Style" w:hAnsi="Bookman Old Style"/>
          <w:sz w:val="28"/>
          <w:szCs w:val="28"/>
          <w:lang w:val="el-GR"/>
        </w:rPr>
        <w:t xml:space="preserve">επαρκή και αποδεκτή </w:t>
      </w:r>
      <w:r w:rsidR="00DE3167">
        <w:rPr>
          <w:rFonts w:ascii="Bookman Old Style" w:hAnsi="Bookman Old Style"/>
          <w:sz w:val="28"/>
          <w:szCs w:val="28"/>
          <w:lang w:val="el-GR"/>
        </w:rPr>
        <w:t xml:space="preserve">την </w:t>
      </w:r>
      <w:r w:rsidR="00765477">
        <w:rPr>
          <w:rFonts w:ascii="Bookman Old Style" w:hAnsi="Bookman Old Style"/>
          <w:sz w:val="28"/>
          <w:szCs w:val="28"/>
          <w:lang w:val="el-GR"/>
        </w:rPr>
        <w:t xml:space="preserve">εξήγηση </w:t>
      </w:r>
      <w:r w:rsidR="00DE3167">
        <w:rPr>
          <w:rFonts w:ascii="Bookman Old Style" w:hAnsi="Bookman Old Style"/>
          <w:sz w:val="28"/>
          <w:szCs w:val="28"/>
          <w:lang w:val="el-GR"/>
        </w:rPr>
        <w:t xml:space="preserve">του </w:t>
      </w:r>
      <w:r w:rsidR="00765477">
        <w:rPr>
          <w:rFonts w:ascii="Bookman Old Style" w:hAnsi="Bookman Old Style"/>
          <w:sz w:val="28"/>
          <w:szCs w:val="28"/>
          <w:lang w:val="el-GR"/>
        </w:rPr>
        <w:t>ΜΕ1 ως προς τούτο</w:t>
      </w:r>
      <w:r w:rsidR="006F1A13">
        <w:rPr>
          <w:rFonts w:ascii="Bookman Old Style" w:hAnsi="Bookman Old Style"/>
          <w:sz w:val="28"/>
          <w:szCs w:val="28"/>
          <w:lang w:val="el-GR"/>
        </w:rPr>
        <w:t>.</w:t>
      </w:r>
      <w:r w:rsidR="007309C5">
        <w:rPr>
          <w:rFonts w:ascii="Bookman Old Style" w:hAnsi="Bookman Old Style"/>
          <w:sz w:val="28"/>
          <w:szCs w:val="28"/>
          <w:lang w:val="el-GR"/>
        </w:rPr>
        <w:t xml:space="preserve"> Εδώ κρίνουμε σκόπιμο να προσθέσουμε ότι η έκδοση των αποδείξεων πληρωμής στο όνομα της εταιρείας καταδεικνύει την σύναψη συμφωνίας με την εταιρεία και όχι με τον ΚΚ προσωπικά. </w:t>
      </w:r>
    </w:p>
    <w:p w14:paraId="28A12368" w14:textId="168A4C8B" w:rsidR="00C34381" w:rsidRPr="007D20BE" w:rsidRDefault="00244C9C" w:rsidP="00244C9C">
      <w:pPr>
        <w:tabs>
          <w:tab w:val="left" w:pos="567"/>
        </w:tabs>
        <w:spacing w:before="240" w:line="480" w:lineRule="auto"/>
        <w:jc w:val="both"/>
        <w:rPr>
          <w:rFonts w:ascii="Bookman Old Style" w:hAnsi="Bookman Old Style"/>
          <w:sz w:val="28"/>
          <w:szCs w:val="28"/>
          <w:lang w:val="el-GR"/>
        </w:rPr>
      </w:pPr>
      <w:r>
        <w:rPr>
          <w:rFonts w:ascii="Bookman Old Style" w:hAnsi="Bookman Old Style"/>
          <w:sz w:val="28"/>
          <w:szCs w:val="28"/>
          <w:lang w:val="el-GR"/>
        </w:rPr>
        <w:tab/>
      </w:r>
      <w:r w:rsidR="007D20BE">
        <w:rPr>
          <w:rFonts w:ascii="Bookman Old Style" w:hAnsi="Bookman Old Style"/>
          <w:sz w:val="28"/>
          <w:szCs w:val="28"/>
          <w:lang w:val="el-GR"/>
        </w:rPr>
        <w:t xml:space="preserve">Η παραδοχή της ΜΥ1 πως ο ΚΚ αγόραζε εισιτήρια </w:t>
      </w:r>
      <w:r w:rsidR="00036C40">
        <w:rPr>
          <w:rFonts w:ascii="Bookman Old Style" w:hAnsi="Bookman Old Style"/>
          <w:sz w:val="28"/>
          <w:szCs w:val="28"/>
          <w:lang w:val="el-GR"/>
        </w:rPr>
        <w:t xml:space="preserve">από τους Εφεσείοντες </w:t>
      </w:r>
      <w:r w:rsidR="007D20BE">
        <w:rPr>
          <w:rFonts w:ascii="Bookman Old Style" w:hAnsi="Bookman Old Style"/>
          <w:sz w:val="28"/>
          <w:szCs w:val="28"/>
          <w:lang w:val="el-GR"/>
        </w:rPr>
        <w:t>ουδόλως επιβεβαιώνει μεταξύ πο</w:t>
      </w:r>
      <w:r w:rsidR="0044707B">
        <w:rPr>
          <w:rFonts w:ascii="Bookman Old Style" w:hAnsi="Bookman Old Style"/>
          <w:sz w:val="28"/>
          <w:szCs w:val="28"/>
          <w:lang w:val="el-GR"/>
        </w:rPr>
        <w:t>ί</w:t>
      </w:r>
      <w:r w:rsidR="007D20BE">
        <w:rPr>
          <w:rFonts w:ascii="Bookman Old Style" w:hAnsi="Bookman Old Style"/>
          <w:sz w:val="28"/>
          <w:szCs w:val="28"/>
          <w:lang w:val="el-GR"/>
        </w:rPr>
        <w:t xml:space="preserve">ων έγινε η συμφωνία ή το ύψος του ισχυριζόμενου χρέους. Είναι γεγονός ότι </w:t>
      </w:r>
      <w:r w:rsidR="00910B8E">
        <w:rPr>
          <w:rFonts w:ascii="Bookman Old Style" w:hAnsi="Bookman Old Style"/>
          <w:sz w:val="28"/>
          <w:szCs w:val="28"/>
          <w:lang w:val="el-GR"/>
        </w:rPr>
        <w:t xml:space="preserve">στο δικόγραφο τους οι Εφεσίβλητοι αρνούνται οποιαδήποτε </w:t>
      </w:r>
      <w:r w:rsidR="007D20BE">
        <w:rPr>
          <w:rFonts w:ascii="Bookman Old Style" w:hAnsi="Bookman Old Style"/>
          <w:sz w:val="28"/>
          <w:szCs w:val="28"/>
          <w:lang w:val="el-GR"/>
        </w:rPr>
        <w:t xml:space="preserve">συναλλαγή </w:t>
      </w:r>
      <w:r w:rsidR="00910B8E">
        <w:rPr>
          <w:rFonts w:ascii="Bookman Old Style" w:hAnsi="Bookman Old Style"/>
          <w:sz w:val="28"/>
          <w:szCs w:val="28"/>
          <w:lang w:val="el-GR"/>
        </w:rPr>
        <w:t xml:space="preserve">των Εφεσειόντων με </w:t>
      </w:r>
      <w:r w:rsidR="00910B8E">
        <w:rPr>
          <w:rFonts w:ascii="Bookman Old Style" w:hAnsi="Bookman Old Style"/>
          <w:sz w:val="28"/>
          <w:szCs w:val="28"/>
          <w:lang w:val="el-GR"/>
        </w:rPr>
        <w:lastRenderedPageBreak/>
        <w:t xml:space="preserve">τον </w:t>
      </w:r>
      <w:r w:rsidR="007D20BE">
        <w:rPr>
          <w:rFonts w:ascii="Bookman Old Style" w:hAnsi="Bookman Old Style"/>
          <w:sz w:val="28"/>
          <w:szCs w:val="28"/>
          <w:lang w:val="el-GR"/>
        </w:rPr>
        <w:t xml:space="preserve">ΚΚ υπό την προσωπική του ιδιότητα </w:t>
      </w:r>
      <w:r w:rsidR="00910B8E">
        <w:rPr>
          <w:rFonts w:ascii="Bookman Old Style" w:hAnsi="Bookman Old Style"/>
          <w:sz w:val="28"/>
          <w:szCs w:val="28"/>
          <w:lang w:val="el-GR"/>
        </w:rPr>
        <w:t xml:space="preserve">και ισχυρίζονται ότι η </w:t>
      </w:r>
      <w:r w:rsidR="00352DD1">
        <w:rPr>
          <w:rFonts w:ascii="Bookman Old Style" w:hAnsi="Bookman Old Style"/>
          <w:sz w:val="28"/>
          <w:szCs w:val="28"/>
          <w:lang w:val="el-GR"/>
        </w:rPr>
        <w:t xml:space="preserve">όποια </w:t>
      </w:r>
      <w:r w:rsidR="007D20BE">
        <w:rPr>
          <w:rFonts w:ascii="Bookman Old Style" w:hAnsi="Bookman Old Style"/>
          <w:sz w:val="28"/>
          <w:szCs w:val="28"/>
          <w:lang w:val="el-GR"/>
        </w:rPr>
        <w:t>συναλλαγή</w:t>
      </w:r>
      <w:r w:rsidR="00910B8E">
        <w:rPr>
          <w:rFonts w:ascii="Bookman Old Style" w:hAnsi="Bookman Old Style"/>
          <w:sz w:val="28"/>
          <w:szCs w:val="28"/>
          <w:lang w:val="el-GR"/>
        </w:rPr>
        <w:t xml:space="preserve"> έγινε με την εταιρεία. Κατά τη μαρτυρία της η ΜΥ1 δεν προώθησε μεν αυτή τη θέση, αλλά ούτε και προέβαλε αντίθετη εκδοχή</w:t>
      </w:r>
      <w:r w:rsidR="007D20BE">
        <w:rPr>
          <w:rFonts w:ascii="Bookman Old Style" w:hAnsi="Bookman Old Style"/>
          <w:sz w:val="28"/>
          <w:szCs w:val="28"/>
          <w:lang w:val="el-GR"/>
        </w:rPr>
        <w:t>.</w:t>
      </w:r>
      <w:r w:rsidR="00A77A20">
        <w:rPr>
          <w:rFonts w:ascii="Bookman Old Style" w:hAnsi="Bookman Old Style"/>
          <w:sz w:val="28"/>
          <w:szCs w:val="28"/>
          <w:lang w:val="el-GR"/>
        </w:rPr>
        <w:t xml:space="preserve"> Ό</w:t>
      </w:r>
      <w:r w:rsidR="00F1461E">
        <w:rPr>
          <w:rFonts w:ascii="Bookman Old Style" w:hAnsi="Bookman Old Style"/>
          <w:sz w:val="28"/>
          <w:szCs w:val="28"/>
          <w:lang w:val="el-GR"/>
        </w:rPr>
        <w:t>πως</w:t>
      </w:r>
      <w:r w:rsidR="007D20BE">
        <w:rPr>
          <w:rFonts w:ascii="Bookman Old Style" w:hAnsi="Bookman Old Style"/>
          <w:sz w:val="28"/>
          <w:szCs w:val="28"/>
          <w:lang w:val="el-GR"/>
        </w:rPr>
        <w:t xml:space="preserve"> επισημαίνει το πρωτόδικο Δικαστήριο, η γνώση της ΜΥ1 ήταν πολύ περιορισμένη ως προς τα γεγονότα που αφορούν τις συναλλαγές του ΚΚ με τους Εφεσείοντες</w:t>
      </w:r>
      <w:r w:rsidR="00A13B7B">
        <w:rPr>
          <w:rFonts w:ascii="Bookman Old Style" w:hAnsi="Bookman Old Style"/>
          <w:sz w:val="28"/>
          <w:szCs w:val="28"/>
          <w:lang w:val="el-GR"/>
        </w:rPr>
        <w:t xml:space="preserve"> και η ΜΥ1 δεν ήταν σε θέση να διακρίνει τη διαφορά μεταξύ των εργασιών και δοσοληψιών της εταιρείας και του συζύγου της και να αναφέρει τον σκοπό έκδοσης των επιταγών, Τεκμήριο 5. </w:t>
      </w:r>
      <w:r w:rsidR="00F1461E">
        <w:rPr>
          <w:rFonts w:ascii="Bookman Old Style" w:hAnsi="Bookman Old Style"/>
          <w:sz w:val="28"/>
          <w:szCs w:val="28"/>
          <w:lang w:val="el-GR"/>
        </w:rPr>
        <w:t xml:space="preserve">Το πρωτόδικο Δικαστήριο παρατηρεί </w:t>
      </w:r>
      <w:r w:rsidR="00032BFF">
        <w:rPr>
          <w:rFonts w:ascii="Bookman Old Style" w:hAnsi="Bookman Old Style"/>
          <w:sz w:val="28"/>
          <w:szCs w:val="28"/>
          <w:lang w:val="el-GR"/>
        </w:rPr>
        <w:t xml:space="preserve">επίσης </w:t>
      </w:r>
      <w:r w:rsidR="00F1461E">
        <w:rPr>
          <w:rFonts w:ascii="Bookman Old Style" w:hAnsi="Bookman Old Style"/>
          <w:sz w:val="28"/>
          <w:szCs w:val="28"/>
          <w:lang w:val="el-GR"/>
        </w:rPr>
        <w:t xml:space="preserve">ότι </w:t>
      </w:r>
      <w:r w:rsidR="00032BFF">
        <w:rPr>
          <w:rFonts w:ascii="Bookman Old Style" w:hAnsi="Bookman Old Style"/>
          <w:sz w:val="28"/>
          <w:szCs w:val="28"/>
          <w:lang w:val="el-GR"/>
        </w:rPr>
        <w:t xml:space="preserve">η ΜΥ1 αναφέρθηκε γενικά και αόριστα πως ο ΚΚ πλήρωνε για τα εισιτήρια που εκδίδονταν από τους Εφεσείοντες αλλά δεν δέχθηκε ως πειστική την εξήγηση </w:t>
      </w:r>
      <w:r w:rsidR="00D15CB4">
        <w:rPr>
          <w:rFonts w:ascii="Bookman Old Style" w:hAnsi="Bookman Old Style"/>
          <w:sz w:val="28"/>
          <w:szCs w:val="28"/>
          <w:lang w:val="el-GR"/>
        </w:rPr>
        <w:t xml:space="preserve">που έδωσε ως προς το πώς το γνώριζε, ήτοι ότι λίγο μετά τον θάνατο του ΚΚ και την επιστροφή της κόρης τους από το εξωτερικό όπου είχε μεταβεί για σπουδές, οι συγγενείς της είπαν ότι θα πλήρωναν το εισιτήριο της κόρης τους με τα χρήματα που θα έπαιρναν από την κηδεία. </w:t>
      </w:r>
      <w:r w:rsidR="00933809">
        <w:rPr>
          <w:rFonts w:ascii="Bookman Old Style" w:hAnsi="Bookman Old Style"/>
          <w:sz w:val="28"/>
          <w:szCs w:val="28"/>
          <w:lang w:val="el-GR"/>
        </w:rPr>
        <w:t xml:space="preserve">Εξού και το Δικαστήριο έκρινε πως η εν λόγω μαρτυρία δεν μπορούσε να γίνει </w:t>
      </w:r>
      <w:r w:rsidR="00A13B7B">
        <w:rPr>
          <w:rFonts w:ascii="Bookman Old Style" w:hAnsi="Bookman Old Style"/>
          <w:sz w:val="28"/>
          <w:szCs w:val="28"/>
          <w:lang w:val="el-GR"/>
        </w:rPr>
        <w:t>αποδεκτή</w:t>
      </w:r>
      <w:r w:rsidR="00933809">
        <w:rPr>
          <w:rFonts w:ascii="Bookman Old Style" w:hAnsi="Bookman Old Style"/>
          <w:sz w:val="28"/>
          <w:szCs w:val="28"/>
          <w:lang w:val="el-GR"/>
        </w:rPr>
        <w:t>, πλην του ότι η ΜΥ1 εντόπισε τις αποδείξεις πληρωμής, Τεκμήριο 7, στην τσάντα του ΚΚ</w:t>
      </w:r>
      <w:r w:rsidR="00A13B7B">
        <w:rPr>
          <w:rFonts w:ascii="Bookman Old Style" w:hAnsi="Bookman Old Style"/>
          <w:sz w:val="28"/>
          <w:szCs w:val="28"/>
          <w:lang w:val="el-GR"/>
        </w:rPr>
        <w:t>.</w:t>
      </w:r>
      <w:r w:rsidR="00D15CB4">
        <w:rPr>
          <w:rFonts w:ascii="Bookman Old Style" w:hAnsi="Bookman Old Style"/>
          <w:sz w:val="28"/>
          <w:szCs w:val="28"/>
          <w:lang w:val="el-GR"/>
        </w:rPr>
        <w:t xml:space="preserve"> </w:t>
      </w:r>
      <w:r w:rsidR="00F100EB">
        <w:rPr>
          <w:rFonts w:ascii="Bookman Old Style" w:hAnsi="Bookman Old Style"/>
          <w:sz w:val="28"/>
          <w:szCs w:val="28"/>
          <w:lang w:val="el-GR"/>
        </w:rPr>
        <w:t xml:space="preserve">Επομένως, ο λόγος έφεσης ότι το Δικαστήριο αγνόησε τους δικογραφημένους ισχυρισμούς των Εφεσίβλητων </w:t>
      </w:r>
      <w:r w:rsidR="005D02EB">
        <w:rPr>
          <w:rFonts w:ascii="Bookman Old Style" w:hAnsi="Bookman Old Style"/>
          <w:sz w:val="28"/>
          <w:szCs w:val="28"/>
          <w:lang w:val="el-GR"/>
        </w:rPr>
        <w:t xml:space="preserve">κρίνεται αβάσιμος και η μαρτυρία της </w:t>
      </w:r>
      <w:r w:rsidR="005D02EB">
        <w:rPr>
          <w:rFonts w:ascii="Bookman Old Style" w:hAnsi="Bookman Old Style"/>
          <w:sz w:val="28"/>
          <w:szCs w:val="28"/>
          <w:lang w:val="el-GR"/>
        </w:rPr>
        <w:lastRenderedPageBreak/>
        <w:t xml:space="preserve">ΜΥ1 </w:t>
      </w:r>
      <w:r w:rsidR="007D20BE">
        <w:rPr>
          <w:rFonts w:ascii="Bookman Old Style" w:hAnsi="Bookman Old Style"/>
          <w:sz w:val="28"/>
          <w:szCs w:val="28"/>
          <w:lang w:val="el-GR"/>
        </w:rPr>
        <w:t xml:space="preserve">δεν ισοδυναμεί με </w:t>
      </w:r>
      <w:r w:rsidR="00F100EB">
        <w:rPr>
          <w:rFonts w:ascii="Bookman Old Style" w:hAnsi="Bookman Old Style"/>
          <w:sz w:val="28"/>
          <w:szCs w:val="28"/>
          <w:lang w:val="el-GR"/>
        </w:rPr>
        <w:t xml:space="preserve">παραδοχή </w:t>
      </w:r>
      <w:r w:rsidR="00EE066A">
        <w:rPr>
          <w:rFonts w:ascii="Bookman Old Style" w:hAnsi="Bookman Old Style"/>
          <w:sz w:val="28"/>
          <w:szCs w:val="28"/>
          <w:lang w:val="el-GR"/>
        </w:rPr>
        <w:t>είτε ότι οι Εφεσείοντες συναλλάσσονταν με τον ΚΚ προσωπικά είτε ως προς το ύψος του ισχυριζόμενου υπολοίπου</w:t>
      </w:r>
      <w:r w:rsidR="007D20BE">
        <w:rPr>
          <w:rFonts w:ascii="Bookman Old Style" w:hAnsi="Bookman Old Style"/>
          <w:sz w:val="28"/>
          <w:szCs w:val="28"/>
          <w:lang w:val="el-GR"/>
        </w:rPr>
        <w:t xml:space="preserve">. </w:t>
      </w:r>
    </w:p>
    <w:p w14:paraId="00D7F9DC" w14:textId="6F8C30A1" w:rsidR="000D5CDA" w:rsidRPr="00480DBA" w:rsidRDefault="00244C9C" w:rsidP="00480DBA">
      <w:pPr>
        <w:tabs>
          <w:tab w:val="left" w:pos="567"/>
        </w:tabs>
        <w:spacing w:line="480" w:lineRule="auto"/>
        <w:ind w:right="62"/>
        <w:jc w:val="both"/>
        <w:rPr>
          <w:rFonts w:ascii="Bookman Old Style" w:hAnsi="Bookman Old Style"/>
          <w:sz w:val="28"/>
          <w:szCs w:val="28"/>
          <w:lang w:val="el-GR"/>
        </w:rPr>
      </w:pPr>
      <w:r>
        <w:rPr>
          <w:rFonts w:ascii="Bookman Old Style" w:hAnsi="Bookman Old Style"/>
          <w:sz w:val="28"/>
          <w:szCs w:val="28"/>
          <w:lang w:val="el-GR"/>
        </w:rPr>
        <w:tab/>
      </w:r>
      <w:r w:rsidR="009A1511">
        <w:rPr>
          <w:rFonts w:ascii="Bookman Old Style" w:hAnsi="Bookman Old Style"/>
          <w:sz w:val="28"/>
          <w:szCs w:val="28"/>
          <w:lang w:val="el-GR"/>
        </w:rPr>
        <w:t xml:space="preserve">Όπως είναι νομολογιακά καθιερωμένο, η κατάσταση λογαριασμού δεν </w:t>
      </w:r>
      <w:r w:rsidR="00E51F27">
        <w:rPr>
          <w:rFonts w:ascii="Bookman Old Style" w:hAnsi="Bookman Old Style"/>
          <w:sz w:val="28"/>
          <w:szCs w:val="28"/>
          <w:lang w:val="el-GR"/>
        </w:rPr>
        <w:t xml:space="preserve">αποδεικνύει αφ΄ εαυτής το ισχυριζόμενο υπόλοιπο αλλά θα πρέπει να προσκομιστεί η απαραίτητη μαρτυρία προς απόδειξη αυτού. Σχετικά παραπέμπουμε στην υπόθεση </w:t>
      </w:r>
      <w:r w:rsidR="0090701A" w:rsidRPr="00480DBA">
        <w:rPr>
          <w:rFonts w:ascii="Bookman Old Style" w:hAnsi="Bookman Old Style"/>
          <w:b/>
          <w:bCs/>
          <w:i/>
          <w:iCs/>
          <w:sz w:val="28"/>
          <w:szCs w:val="28"/>
        </w:rPr>
        <w:t>D</w:t>
      </w:r>
      <w:r w:rsidR="0090701A" w:rsidRPr="00480DBA">
        <w:rPr>
          <w:rFonts w:ascii="Bookman Old Style" w:hAnsi="Bookman Old Style"/>
          <w:b/>
          <w:bCs/>
          <w:i/>
          <w:iCs/>
          <w:sz w:val="28"/>
          <w:szCs w:val="28"/>
          <w:lang w:val="el-GR"/>
        </w:rPr>
        <w:t xml:space="preserve"> &amp; </w:t>
      </w:r>
      <w:r w:rsidR="0090701A" w:rsidRPr="00480DBA">
        <w:rPr>
          <w:rFonts w:ascii="Bookman Old Style" w:hAnsi="Bookman Old Style"/>
          <w:b/>
          <w:bCs/>
          <w:i/>
          <w:iCs/>
          <w:sz w:val="28"/>
          <w:szCs w:val="28"/>
        </w:rPr>
        <w:t>G</w:t>
      </w:r>
      <w:r w:rsidR="0090701A" w:rsidRPr="00480DBA">
        <w:rPr>
          <w:rFonts w:ascii="Bookman Old Style" w:hAnsi="Bookman Old Style"/>
          <w:b/>
          <w:bCs/>
          <w:i/>
          <w:iCs/>
          <w:sz w:val="28"/>
          <w:szCs w:val="28"/>
          <w:lang w:val="el-GR"/>
        </w:rPr>
        <w:t xml:space="preserve"> </w:t>
      </w:r>
      <w:r w:rsidR="0090701A" w:rsidRPr="00480DBA">
        <w:rPr>
          <w:rFonts w:ascii="Bookman Old Style" w:hAnsi="Bookman Old Style"/>
          <w:b/>
          <w:bCs/>
          <w:i/>
          <w:iCs/>
          <w:sz w:val="28"/>
          <w:szCs w:val="28"/>
        </w:rPr>
        <w:t>Products</w:t>
      </w:r>
      <w:r w:rsidR="0090701A" w:rsidRPr="00480DBA">
        <w:rPr>
          <w:rFonts w:ascii="Bookman Old Style" w:hAnsi="Bookman Old Style"/>
          <w:b/>
          <w:bCs/>
          <w:i/>
          <w:iCs/>
          <w:sz w:val="28"/>
          <w:szCs w:val="28"/>
          <w:lang w:val="el-GR"/>
        </w:rPr>
        <w:t xml:space="preserve"> </w:t>
      </w:r>
      <w:r w:rsidR="0090701A" w:rsidRPr="00480DBA">
        <w:rPr>
          <w:rFonts w:ascii="Bookman Old Style" w:hAnsi="Bookman Old Style"/>
          <w:b/>
          <w:bCs/>
          <w:i/>
          <w:iCs/>
          <w:sz w:val="28"/>
          <w:szCs w:val="28"/>
        </w:rPr>
        <w:t>Ltd</w:t>
      </w:r>
      <w:r w:rsidR="0090701A" w:rsidRPr="00480DBA">
        <w:rPr>
          <w:rFonts w:ascii="Bookman Old Style" w:hAnsi="Bookman Old Style"/>
          <w:b/>
          <w:bCs/>
          <w:i/>
          <w:iCs/>
          <w:sz w:val="28"/>
          <w:szCs w:val="28"/>
          <w:lang w:val="el-GR"/>
        </w:rPr>
        <w:t xml:space="preserve"> </w:t>
      </w:r>
      <w:r w:rsidR="0090701A" w:rsidRPr="00480DBA">
        <w:rPr>
          <w:rFonts w:ascii="Bookman Old Style" w:hAnsi="Bookman Old Style"/>
          <w:b/>
          <w:bCs/>
          <w:i/>
          <w:iCs/>
          <w:sz w:val="28"/>
          <w:szCs w:val="28"/>
        </w:rPr>
        <w:t>v</w:t>
      </w:r>
      <w:r w:rsidR="0090701A" w:rsidRPr="00480DBA">
        <w:rPr>
          <w:rFonts w:ascii="Bookman Old Style" w:hAnsi="Bookman Old Style"/>
          <w:b/>
          <w:bCs/>
          <w:i/>
          <w:iCs/>
          <w:sz w:val="28"/>
          <w:szCs w:val="28"/>
          <w:lang w:val="el-GR"/>
        </w:rPr>
        <w:t xml:space="preserve">. </w:t>
      </w:r>
      <w:r w:rsidR="0090701A" w:rsidRPr="00480DBA">
        <w:rPr>
          <w:rFonts w:ascii="Bookman Old Style" w:hAnsi="Bookman Old Style"/>
          <w:b/>
          <w:bCs/>
          <w:i/>
          <w:iCs/>
          <w:sz w:val="28"/>
          <w:szCs w:val="28"/>
        </w:rPr>
        <w:t>Premixco</w:t>
      </w:r>
      <w:r w:rsidR="0090701A" w:rsidRPr="00480DBA">
        <w:rPr>
          <w:rFonts w:ascii="Bookman Old Style" w:hAnsi="Bookman Old Style"/>
          <w:b/>
          <w:bCs/>
          <w:i/>
          <w:iCs/>
          <w:sz w:val="28"/>
          <w:szCs w:val="28"/>
          <w:lang w:val="el-GR"/>
        </w:rPr>
        <w:t xml:space="preserve"> </w:t>
      </w:r>
      <w:r w:rsidR="0090701A" w:rsidRPr="00480DBA">
        <w:rPr>
          <w:rFonts w:ascii="Bookman Old Style" w:hAnsi="Bookman Old Style"/>
          <w:b/>
          <w:bCs/>
          <w:i/>
          <w:iCs/>
          <w:sz w:val="28"/>
          <w:szCs w:val="28"/>
        </w:rPr>
        <w:t>Ashpalting</w:t>
      </w:r>
      <w:r w:rsidR="0090701A" w:rsidRPr="00480DBA">
        <w:rPr>
          <w:rFonts w:ascii="Bookman Old Style" w:hAnsi="Bookman Old Style"/>
          <w:b/>
          <w:bCs/>
          <w:i/>
          <w:iCs/>
          <w:sz w:val="28"/>
          <w:szCs w:val="28"/>
          <w:lang w:val="el-GR"/>
        </w:rPr>
        <w:t xml:space="preserve"> </w:t>
      </w:r>
      <w:r w:rsidR="0090701A" w:rsidRPr="00480DBA">
        <w:rPr>
          <w:rFonts w:ascii="Bookman Old Style" w:hAnsi="Bookman Old Style"/>
          <w:b/>
          <w:bCs/>
          <w:i/>
          <w:iCs/>
          <w:sz w:val="28"/>
          <w:szCs w:val="28"/>
        </w:rPr>
        <w:t>Company</w:t>
      </w:r>
      <w:r w:rsidR="0090701A" w:rsidRPr="00480DBA">
        <w:rPr>
          <w:rFonts w:ascii="Bookman Old Style" w:hAnsi="Bookman Old Style"/>
          <w:b/>
          <w:bCs/>
          <w:i/>
          <w:iCs/>
          <w:sz w:val="28"/>
          <w:szCs w:val="28"/>
          <w:lang w:val="el-GR"/>
        </w:rPr>
        <w:t xml:space="preserve"> </w:t>
      </w:r>
      <w:r w:rsidR="0090701A" w:rsidRPr="00480DBA">
        <w:rPr>
          <w:rFonts w:ascii="Bookman Old Style" w:hAnsi="Bookman Old Style"/>
          <w:b/>
          <w:bCs/>
          <w:i/>
          <w:iCs/>
          <w:sz w:val="28"/>
          <w:szCs w:val="28"/>
        </w:rPr>
        <w:t>Ltd</w:t>
      </w:r>
      <w:r w:rsidR="0090701A" w:rsidRPr="00480DBA">
        <w:rPr>
          <w:rFonts w:ascii="Bookman Old Style" w:hAnsi="Bookman Old Style"/>
          <w:b/>
          <w:bCs/>
          <w:i/>
          <w:iCs/>
          <w:sz w:val="28"/>
          <w:szCs w:val="28"/>
          <w:lang w:val="el-GR"/>
        </w:rPr>
        <w:t xml:space="preserve"> (1999) 1(Α) Α.Α.Δ. 263</w:t>
      </w:r>
      <w:r w:rsidR="0090701A">
        <w:rPr>
          <w:rFonts w:ascii="Bookman Old Style" w:hAnsi="Bookman Old Style"/>
          <w:sz w:val="28"/>
          <w:szCs w:val="28"/>
          <w:lang w:val="el-GR"/>
        </w:rPr>
        <w:t xml:space="preserve">. </w:t>
      </w:r>
      <w:r w:rsidR="00F23662">
        <w:rPr>
          <w:rFonts w:ascii="Bookman Old Style" w:hAnsi="Bookman Old Style"/>
          <w:sz w:val="28"/>
          <w:szCs w:val="28"/>
          <w:lang w:val="el-GR"/>
        </w:rPr>
        <w:t xml:space="preserve"> </w:t>
      </w:r>
    </w:p>
    <w:p w14:paraId="41D650D9" w14:textId="593AB144" w:rsidR="0083564D" w:rsidRPr="0090701A" w:rsidRDefault="00244C9C" w:rsidP="00244C9C">
      <w:pPr>
        <w:tabs>
          <w:tab w:val="left" w:pos="567"/>
        </w:tabs>
        <w:spacing w:before="240" w:after="0" w:line="480" w:lineRule="auto"/>
        <w:jc w:val="both"/>
        <w:rPr>
          <w:rFonts w:ascii="Bookman Old Style" w:hAnsi="Bookman Old Style"/>
          <w:sz w:val="28"/>
          <w:szCs w:val="28"/>
          <w:lang w:val="el-GR"/>
        </w:rPr>
      </w:pPr>
      <w:r>
        <w:rPr>
          <w:rFonts w:ascii="Bookman Old Style" w:hAnsi="Bookman Old Style"/>
          <w:sz w:val="28"/>
          <w:szCs w:val="28"/>
          <w:lang w:val="el-GR"/>
        </w:rPr>
        <w:tab/>
      </w:r>
      <w:r w:rsidR="0083564D">
        <w:rPr>
          <w:rFonts w:ascii="Bookman Old Style" w:hAnsi="Bookman Old Style"/>
          <w:sz w:val="28"/>
          <w:szCs w:val="28"/>
          <w:lang w:val="el-GR"/>
        </w:rPr>
        <w:t xml:space="preserve">Τέλος, </w:t>
      </w:r>
      <w:r w:rsidR="005D3874">
        <w:rPr>
          <w:rFonts w:ascii="Bookman Old Style" w:hAnsi="Bookman Old Style"/>
          <w:sz w:val="28"/>
          <w:szCs w:val="28"/>
          <w:lang w:val="el-GR"/>
        </w:rPr>
        <w:t>αναφέρουμε ότι δεν ετίθετο θέμα βάρους απόδειξης της απαίτησης των Εφεσειόντων</w:t>
      </w:r>
      <w:r w:rsidR="0033232E">
        <w:rPr>
          <w:rFonts w:ascii="Bookman Old Style" w:hAnsi="Bookman Old Style"/>
          <w:sz w:val="28"/>
          <w:szCs w:val="28"/>
          <w:lang w:val="el-GR"/>
        </w:rPr>
        <w:t>,</w:t>
      </w:r>
      <w:r w:rsidR="005D3874">
        <w:rPr>
          <w:rFonts w:ascii="Bookman Old Style" w:hAnsi="Bookman Old Style"/>
          <w:sz w:val="28"/>
          <w:szCs w:val="28"/>
          <w:lang w:val="el-GR"/>
        </w:rPr>
        <w:t xml:space="preserve"> με δεδομένη την απόρριψη της μαρτυρίας του ΜΕ1 και γενικά την αξιολόγηση του συνόλου της μαρτυρίας, ανεξαρτήτως του ότι </w:t>
      </w:r>
      <w:r w:rsidR="00575D04">
        <w:rPr>
          <w:rFonts w:ascii="Bookman Old Style" w:hAnsi="Bookman Old Style"/>
          <w:sz w:val="28"/>
          <w:szCs w:val="28"/>
          <w:lang w:val="el-GR"/>
        </w:rPr>
        <w:t xml:space="preserve">ορθώς το πρωτόδικο Δικαστήριο </w:t>
      </w:r>
      <w:r w:rsidR="0083564D">
        <w:rPr>
          <w:rFonts w:ascii="Bookman Old Style" w:hAnsi="Bookman Old Style"/>
          <w:sz w:val="28"/>
          <w:szCs w:val="28"/>
          <w:lang w:val="el-GR"/>
        </w:rPr>
        <w:t xml:space="preserve">καθοδηγήθηκε από το </w:t>
      </w:r>
      <w:r w:rsidR="0083564D" w:rsidRPr="00480DBA">
        <w:rPr>
          <w:rFonts w:ascii="Bookman Old Style" w:hAnsi="Bookman Old Style"/>
          <w:b/>
          <w:bCs/>
          <w:i/>
          <w:iCs/>
          <w:sz w:val="28"/>
          <w:szCs w:val="28"/>
          <w:lang w:val="el-GR"/>
        </w:rPr>
        <w:t>άρθρο 7</w:t>
      </w:r>
      <w:r w:rsidR="0083564D">
        <w:rPr>
          <w:rFonts w:ascii="Bookman Old Style" w:hAnsi="Bookman Old Style"/>
          <w:sz w:val="28"/>
          <w:szCs w:val="28"/>
          <w:lang w:val="el-GR"/>
        </w:rPr>
        <w:t xml:space="preserve"> του </w:t>
      </w:r>
      <w:r w:rsidR="0083564D" w:rsidRPr="00480DBA">
        <w:rPr>
          <w:rFonts w:ascii="Bookman Old Style" w:hAnsi="Bookman Old Style"/>
          <w:b/>
          <w:bCs/>
          <w:i/>
          <w:iCs/>
          <w:sz w:val="28"/>
          <w:szCs w:val="28"/>
          <w:lang w:val="el-GR"/>
        </w:rPr>
        <w:t>περί Αποδείξεως Νόμου, Κεφ. 9</w:t>
      </w:r>
      <w:r w:rsidR="0083564D">
        <w:rPr>
          <w:rFonts w:ascii="Bookman Old Style" w:hAnsi="Bookman Old Style"/>
          <w:sz w:val="28"/>
          <w:szCs w:val="28"/>
          <w:lang w:val="el-GR"/>
        </w:rPr>
        <w:t>, και τη σχετική νομολογία ως προς την ανάγκη αναζήτησης ενισχυτικής μαρτυρίας</w:t>
      </w:r>
      <w:r w:rsidR="005D3874">
        <w:rPr>
          <w:rFonts w:ascii="Bookman Old Style" w:hAnsi="Bookman Old Style"/>
          <w:sz w:val="28"/>
          <w:szCs w:val="28"/>
          <w:lang w:val="el-GR"/>
        </w:rPr>
        <w:t xml:space="preserve">. </w:t>
      </w:r>
      <w:r w:rsidR="0083564D">
        <w:rPr>
          <w:rFonts w:ascii="Bookman Old Style" w:hAnsi="Bookman Old Style"/>
          <w:sz w:val="28"/>
          <w:szCs w:val="28"/>
          <w:lang w:val="el-GR"/>
        </w:rPr>
        <w:t xml:space="preserve"> </w:t>
      </w:r>
    </w:p>
    <w:p w14:paraId="5D6C9D9B" w14:textId="454053B7" w:rsidR="00D86390" w:rsidRDefault="00244C9C" w:rsidP="00244C9C">
      <w:pPr>
        <w:tabs>
          <w:tab w:val="left" w:pos="567"/>
        </w:tabs>
        <w:spacing w:before="240" w:line="480" w:lineRule="auto"/>
        <w:jc w:val="both"/>
        <w:rPr>
          <w:rFonts w:ascii="Bookman Old Style" w:hAnsi="Bookman Old Style"/>
          <w:sz w:val="28"/>
          <w:szCs w:val="28"/>
          <w:lang w:val="el-GR"/>
        </w:rPr>
      </w:pPr>
      <w:r>
        <w:rPr>
          <w:rFonts w:ascii="Bookman Old Style" w:hAnsi="Bookman Old Style"/>
          <w:sz w:val="28"/>
          <w:szCs w:val="28"/>
          <w:lang w:val="el-GR"/>
        </w:rPr>
        <w:tab/>
      </w:r>
      <w:r w:rsidR="00586A8E">
        <w:rPr>
          <w:rFonts w:ascii="Bookman Old Style" w:hAnsi="Bookman Old Style"/>
          <w:sz w:val="28"/>
          <w:szCs w:val="28"/>
          <w:lang w:val="el-GR"/>
        </w:rPr>
        <w:t xml:space="preserve">Ως εκ τούτου, δεν εντοπίζουμε οποιοδήποτε σφάλμα ή παράλειψη του πρωτόδικου Δικαστηρίου </w:t>
      </w:r>
      <w:r w:rsidR="00E7109E">
        <w:rPr>
          <w:rFonts w:ascii="Bookman Old Style" w:hAnsi="Bookman Old Style"/>
          <w:sz w:val="28"/>
          <w:szCs w:val="28"/>
          <w:lang w:val="el-GR"/>
        </w:rPr>
        <w:t xml:space="preserve">είτε στην αξιολόγηση της μαρτυρίας είτε στην ερμηνεία και εφαρμογή του βάρους απόδειξης. </w:t>
      </w:r>
    </w:p>
    <w:p w14:paraId="21E5BF44" w14:textId="45612A9D" w:rsidR="00E7109E" w:rsidRDefault="00244C9C" w:rsidP="00244C9C">
      <w:pPr>
        <w:tabs>
          <w:tab w:val="left" w:pos="567"/>
        </w:tabs>
        <w:spacing w:before="240" w:line="360" w:lineRule="auto"/>
        <w:jc w:val="both"/>
        <w:rPr>
          <w:rFonts w:ascii="Bookman Old Style" w:hAnsi="Bookman Old Style"/>
          <w:sz w:val="28"/>
          <w:szCs w:val="28"/>
          <w:lang w:val="el-GR"/>
        </w:rPr>
      </w:pPr>
      <w:r>
        <w:rPr>
          <w:rFonts w:ascii="Bookman Old Style" w:hAnsi="Bookman Old Style"/>
          <w:sz w:val="28"/>
          <w:szCs w:val="28"/>
          <w:lang w:val="el-GR"/>
        </w:rPr>
        <w:tab/>
      </w:r>
      <w:r w:rsidR="00E7109E">
        <w:rPr>
          <w:rFonts w:ascii="Bookman Old Style" w:hAnsi="Bookman Old Style"/>
          <w:sz w:val="28"/>
          <w:szCs w:val="28"/>
          <w:lang w:val="el-GR"/>
        </w:rPr>
        <w:t xml:space="preserve">Η Έφεση απορρίπτεται. </w:t>
      </w:r>
    </w:p>
    <w:p w14:paraId="0D071D91" w14:textId="03A39194" w:rsidR="00E7109E" w:rsidRDefault="00244C9C" w:rsidP="00E7109E">
      <w:pPr>
        <w:tabs>
          <w:tab w:val="left" w:pos="567"/>
        </w:tabs>
        <w:spacing w:before="240" w:line="480" w:lineRule="auto"/>
        <w:rPr>
          <w:rFonts w:ascii="Bookman Old Style" w:hAnsi="Bookman Old Style" w:cs="Arial"/>
          <w:sz w:val="28"/>
          <w:szCs w:val="28"/>
          <w:lang w:val="el-GR"/>
        </w:rPr>
      </w:pPr>
      <w:r>
        <w:rPr>
          <w:rFonts w:ascii="Bookman Old Style" w:hAnsi="Bookman Old Style" w:cs="Arial"/>
          <w:sz w:val="28"/>
          <w:szCs w:val="28"/>
          <w:lang w:val="el-GR"/>
        </w:rPr>
        <w:lastRenderedPageBreak/>
        <w:tab/>
      </w:r>
      <w:r w:rsidR="00E7109E" w:rsidRPr="00E7109E">
        <w:rPr>
          <w:rFonts w:ascii="Bookman Old Style" w:hAnsi="Bookman Old Style" w:cs="Arial"/>
          <w:sz w:val="28"/>
          <w:szCs w:val="28"/>
          <w:lang w:val="el-GR"/>
        </w:rPr>
        <w:t xml:space="preserve">Επιδικάζονται </w:t>
      </w:r>
      <w:r w:rsidR="00480DBA" w:rsidRPr="00E7109E">
        <w:rPr>
          <w:rFonts w:ascii="Bookman Old Style" w:hAnsi="Bookman Old Style" w:cs="Arial"/>
          <w:sz w:val="28"/>
          <w:szCs w:val="28"/>
          <w:lang w:val="el-GR"/>
        </w:rPr>
        <w:t>€3.</w:t>
      </w:r>
      <w:r w:rsidR="00314BD7" w:rsidRPr="00314BD7">
        <w:rPr>
          <w:rFonts w:ascii="Bookman Old Style" w:hAnsi="Bookman Old Style" w:cs="Arial"/>
          <w:sz w:val="28"/>
          <w:szCs w:val="28"/>
          <w:lang w:val="el-GR"/>
        </w:rPr>
        <w:t>0</w:t>
      </w:r>
      <w:r w:rsidR="00480DBA" w:rsidRPr="00E7109E">
        <w:rPr>
          <w:rFonts w:ascii="Bookman Old Style" w:hAnsi="Bookman Old Style" w:cs="Arial"/>
          <w:sz w:val="28"/>
          <w:szCs w:val="28"/>
          <w:lang w:val="el-GR"/>
        </w:rPr>
        <w:t>00</w:t>
      </w:r>
      <w:r w:rsidR="00480DBA">
        <w:rPr>
          <w:rFonts w:ascii="Bookman Old Style" w:hAnsi="Bookman Old Style" w:cs="Arial"/>
          <w:sz w:val="28"/>
          <w:szCs w:val="28"/>
          <w:lang w:val="el-GR"/>
        </w:rPr>
        <w:t xml:space="preserve"> </w:t>
      </w:r>
      <w:r w:rsidR="00E7109E" w:rsidRPr="00E7109E">
        <w:rPr>
          <w:rFonts w:ascii="Bookman Old Style" w:hAnsi="Bookman Old Style" w:cs="Arial"/>
          <w:sz w:val="28"/>
          <w:szCs w:val="28"/>
          <w:lang w:val="el-GR"/>
        </w:rPr>
        <w:t xml:space="preserve">έξοδα υπέρ </w:t>
      </w:r>
      <w:r w:rsidR="00E7109E">
        <w:rPr>
          <w:rFonts w:ascii="Bookman Old Style" w:hAnsi="Bookman Old Style" w:cs="Arial"/>
          <w:sz w:val="28"/>
          <w:szCs w:val="28"/>
          <w:lang w:val="el-GR"/>
        </w:rPr>
        <w:t>των Εφεσίβλητων 1 και 2 και εναντίον των Εφεσειόντων</w:t>
      </w:r>
      <w:r w:rsidR="00480DBA">
        <w:rPr>
          <w:rFonts w:ascii="Bookman Old Style" w:hAnsi="Bookman Old Style" w:cs="Arial"/>
          <w:sz w:val="28"/>
          <w:szCs w:val="28"/>
          <w:lang w:val="el-GR"/>
        </w:rPr>
        <w:t xml:space="preserve"> πλέον ΦΠΑ</w:t>
      </w:r>
      <w:r w:rsidR="00E7109E" w:rsidRPr="00E7109E">
        <w:rPr>
          <w:rFonts w:ascii="Bookman Old Style" w:hAnsi="Bookman Old Style" w:cs="Arial"/>
          <w:sz w:val="28"/>
          <w:szCs w:val="28"/>
          <w:lang w:val="el-GR"/>
        </w:rPr>
        <w:t xml:space="preserve">. </w:t>
      </w:r>
    </w:p>
    <w:p w14:paraId="7328BBE4" w14:textId="77777777" w:rsidR="004D0B15" w:rsidRDefault="004D0B15" w:rsidP="00E7109E">
      <w:pPr>
        <w:tabs>
          <w:tab w:val="left" w:pos="567"/>
        </w:tabs>
        <w:spacing w:before="240" w:line="480" w:lineRule="auto"/>
        <w:rPr>
          <w:rFonts w:ascii="Bookman Old Style" w:hAnsi="Bookman Old Style" w:cs="Arial"/>
          <w:sz w:val="28"/>
          <w:szCs w:val="28"/>
          <w:lang w:val="el-GR"/>
        </w:rPr>
      </w:pPr>
    </w:p>
    <w:p w14:paraId="7E740D06" w14:textId="77777777" w:rsidR="004D0B15" w:rsidRDefault="004D0B15" w:rsidP="00E7109E">
      <w:pPr>
        <w:tabs>
          <w:tab w:val="left" w:pos="567"/>
        </w:tabs>
        <w:spacing w:before="240" w:line="480" w:lineRule="auto"/>
        <w:rPr>
          <w:rFonts w:ascii="Bookman Old Style" w:hAnsi="Bookman Old Style" w:cs="Arial"/>
          <w:sz w:val="28"/>
          <w:szCs w:val="28"/>
          <w:lang w:val="el-GR"/>
        </w:rPr>
      </w:pPr>
    </w:p>
    <w:p w14:paraId="3C2D9996" w14:textId="77777777" w:rsidR="00244C9C" w:rsidRPr="00244C9C" w:rsidRDefault="00244C9C" w:rsidP="004D0B15">
      <w:pPr>
        <w:spacing w:line="720" w:lineRule="auto"/>
        <w:ind w:left="5040" w:firstLine="720"/>
        <w:rPr>
          <w:rFonts w:ascii="Bookman Old Style" w:hAnsi="Bookman Old Style"/>
          <w:sz w:val="28"/>
          <w:szCs w:val="28"/>
          <w:lang w:val="el-GR"/>
        </w:rPr>
      </w:pPr>
      <w:r w:rsidRPr="00244C9C">
        <w:rPr>
          <w:rFonts w:ascii="Bookman Old Style" w:hAnsi="Bookman Old Style"/>
          <w:sz w:val="28"/>
          <w:szCs w:val="28"/>
          <w:lang w:val="el-GR"/>
        </w:rPr>
        <w:t>Χ. ΜΑΛΑΧΤΟΣ, Δ.</w:t>
      </w:r>
    </w:p>
    <w:p w14:paraId="358C6482" w14:textId="77777777" w:rsidR="00244C9C" w:rsidRPr="00244C9C" w:rsidRDefault="00244C9C" w:rsidP="004D0B15">
      <w:pPr>
        <w:spacing w:line="720" w:lineRule="auto"/>
        <w:rPr>
          <w:rFonts w:ascii="Bookman Old Style" w:hAnsi="Bookman Old Style"/>
          <w:sz w:val="28"/>
          <w:szCs w:val="28"/>
          <w:lang w:val="el-GR"/>
        </w:rPr>
      </w:pPr>
      <w:r w:rsidRPr="00244C9C">
        <w:rPr>
          <w:rFonts w:ascii="Bookman Old Style" w:hAnsi="Bookman Old Style"/>
          <w:sz w:val="28"/>
          <w:szCs w:val="28"/>
          <w:lang w:val="el-GR"/>
        </w:rPr>
        <w:tab/>
      </w:r>
      <w:r w:rsidRPr="00244C9C">
        <w:rPr>
          <w:rFonts w:ascii="Bookman Old Style" w:hAnsi="Bookman Old Style"/>
          <w:sz w:val="28"/>
          <w:szCs w:val="28"/>
          <w:lang w:val="el-GR"/>
        </w:rPr>
        <w:tab/>
      </w:r>
      <w:r w:rsidRPr="00244C9C">
        <w:rPr>
          <w:rFonts w:ascii="Bookman Old Style" w:hAnsi="Bookman Old Style"/>
          <w:sz w:val="28"/>
          <w:szCs w:val="28"/>
          <w:lang w:val="el-GR"/>
        </w:rPr>
        <w:tab/>
      </w:r>
      <w:r w:rsidRPr="00244C9C">
        <w:rPr>
          <w:rFonts w:ascii="Bookman Old Style" w:hAnsi="Bookman Old Style"/>
          <w:sz w:val="28"/>
          <w:szCs w:val="28"/>
          <w:lang w:val="el-GR"/>
        </w:rPr>
        <w:tab/>
      </w:r>
      <w:r w:rsidRPr="00244C9C">
        <w:rPr>
          <w:rFonts w:ascii="Bookman Old Style" w:hAnsi="Bookman Old Style"/>
          <w:sz w:val="28"/>
          <w:szCs w:val="28"/>
          <w:lang w:val="el-GR"/>
        </w:rPr>
        <w:tab/>
      </w:r>
      <w:r w:rsidRPr="00244C9C">
        <w:rPr>
          <w:rFonts w:ascii="Bookman Old Style" w:hAnsi="Bookman Old Style"/>
          <w:sz w:val="28"/>
          <w:szCs w:val="28"/>
          <w:lang w:val="el-GR"/>
        </w:rPr>
        <w:tab/>
      </w:r>
      <w:r w:rsidRPr="00244C9C">
        <w:rPr>
          <w:rFonts w:ascii="Bookman Old Style" w:hAnsi="Bookman Old Style"/>
          <w:sz w:val="28"/>
          <w:szCs w:val="28"/>
          <w:lang w:val="el-GR"/>
        </w:rPr>
        <w:tab/>
      </w:r>
      <w:r w:rsidRPr="00244C9C">
        <w:rPr>
          <w:rFonts w:ascii="Bookman Old Style" w:hAnsi="Bookman Old Style"/>
          <w:sz w:val="28"/>
          <w:szCs w:val="28"/>
          <w:lang w:val="el-GR"/>
        </w:rPr>
        <w:tab/>
        <w:t>Ι. ΙΩΑΝΝΙΔΗΣ, Δ.</w:t>
      </w:r>
    </w:p>
    <w:p w14:paraId="2180619E" w14:textId="77777777" w:rsidR="00244C9C" w:rsidRDefault="00244C9C" w:rsidP="004D0B15">
      <w:pPr>
        <w:spacing w:line="720" w:lineRule="auto"/>
        <w:rPr>
          <w:rFonts w:ascii="Bookman Old Style" w:hAnsi="Bookman Old Style"/>
          <w:sz w:val="28"/>
          <w:szCs w:val="28"/>
        </w:rPr>
      </w:pPr>
      <w:r w:rsidRPr="00244C9C">
        <w:rPr>
          <w:rFonts w:ascii="Bookman Old Style" w:hAnsi="Bookman Old Style"/>
          <w:sz w:val="28"/>
          <w:szCs w:val="28"/>
          <w:lang w:val="el-GR"/>
        </w:rPr>
        <w:tab/>
      </w:r>
      <w:r w:rsidRPr="00244C9C">
        <w:rPr>
          <w:rFonts w:ascii="Bookman Old Style" w:hAnsi="Bookman Old Style"/>
          <w:sz w:val="28"/>
          <w:szCs w:val="28"/>
          <w:lang w:val="el-GR"/>
        </w:rPr>
        <w:tab/>
      </w:r>
      <w:r w:rsidRPr="00244C9C">
        <w:rPr>
          <w:rFonts w:ascii="Bookman Old Style" w:hAnsi="Bookman Old Style"/>
          <w:sz w:val="28"/>
          <w:szCs w:val="28"/>
          <w:lang w:val="el-GR"/>
        </w:rPr>
        <w:tab/>
      </w:r>
      <w:r w:rsidRPr="00244C9C">
        <w:rPr>
          <w:rFonts w:ascii="Bookman Old Style" w:hAnsi="Bookman Old Style"/>
          <w:sz w:val="28"/>
          <w:szCs w:val="28"/>
          <w:lang w:val="el-GR"/>
        </w:rPr>
        <w:tab/>
      </w:r>
      <w:r w:rsidRPr="00244C9C">
        <w:rPr>
          <w:rFonts w:ascii="Bookman Old Style" w:hAnsi="Bookman Old Style"/>
          <w:sz w:val="28"/>
          <w:szCs w:val="28"/>
          <w:lang w:val="el-GR"/>
        </w:rPr>
        <w:tab/>
      </w:r>
      <w:r w:rsidRPr="00244C9C">
        <w:rPr>
          <w:rFonts w:ascii="Bookman Old Style" w:hAnsi="Bookman Old Style"/>
          <w:sz w:val="28"/>
          <w:szCs w:val="28"/>
          <w:lang w:val="el-GR"/>
        </w:rPr>
        <w:tab/>
      </w:r>
      <w:r w:rsidRPr="00244C9C">
        <w:rPr>
          <w:rFonts w:ascii="Bookman Old Style" w:hAnsi="Bookman Old Style"/>
          <w:sz w:val="28"/>
          <w:szCs w:val="28"/>
          <w:lang w:val="el-GR"/>
        </w:rPr>
        <w:tab/>
      </w:r>
      <w:r w:rsidRPr="00244C9C">
        <w:rPr>
          <w:rFonts w:ascii="Bookman Old Style" w:hAnsi="Bookman Old Style"/>
          <w:sz w:val="28"/>
          <w:szCs w:val="28"/>
          <w:lang w:val="el-GR"/>
        </w:rPr>
        <w:tab/>
      </w:r>
      <w:r>
        <w:rPr>
          <w:rFonts w:ascii="Bookman Old Style" w:hAnsi="Bookman Old Style"/>
          <w:sz w:val="28"/>
          <w:szCs w:val="28"/>
        </w:rPr>
        <w:t>Ε. ΕΦΡΑΙΜ, Δ.</w:t>
      </w:r>
    </w:p>
    <w:p w14:paraId="0EC2CF77" w14:textId="77777777" w:rsidR="00244C9C" w:rsidRDefault="00244C9C" w:rsidP="00244C9C">
      <w:pPr>
        <w:shd w:val="clear" w:color="auto" w:fill="FFFFFF"/>
        <w:spacing w:line="360" w:lineRule="auto"/>
        <w:rPr>
          <w:rFonts w:ascii="Bookman Old Style" w:eastAsia="Times New Roman" w:hAnsi="Bookman Old Style" w:cs="Times New Roman"/>
          <w:color w:val="000000"/>
          <w:sz w:val="28"/>
          <w:szCs w:val="28"/>
        </w:rPr>
      </w:pPr>
    </w:p>
    <w:p w14:paraId="629DBD94" w14:textId="77777777" w:rsidR="00244C9C" w:rsidRDefault="00244C9C" w:rsidP="00244C9C">
      <w:pPr>
        <w:shd w:val="clear" w:color="auto" w:fill="FFFFFF"/>
        <w:spacing w:line="360" w:lineRule="auto"/>
        <w:rPr>
          <w:rFonts w:ascii="Bookman Old Style" w:eastAsia="Times New Roman" w:hAnsi="Bookman Old Style" w:cs="Times New Roman"/>
          <w:color w:val="000000"/>
          <w:sz w:val="28"/>
          <w:szCs w:val="28"/>
        </w:rPr>
      </w:pPr>
    </w:p>
    <w:p w14:paraId="587EBD31" w14:textId="77777777" w:rsidR="00244C9C" w:rsidRDefault="00244C9C" w:rsidP="00244C9C">
      <w:pPr>
        <w:shd w:val="clear" w:color="auto" w:fill="FFFFFF"/>
        <w:spacing w:line="360" w:lineRule="auto"/>
        <w:rPr>
          <w:rFonts w:ascii="Bookman Old Style" w:eastAsia="Times New Roman" w:hAnsi="Bookman Old Style" w:cs="Times New Roman"/>
          <w:color w:val="000000"/>
          <w:sz w:val="28"/>
          <w:szCs w:val="28"/>
        </w:rPr>
      </w:pPr>
    </w:p>
    <w:p w14:paraId="112CE642" w14:textId="77777777" w:rsidR="00244C9C" w:rsidRDefault="00244C9C" w:rsidP="00244C9C">
      <w:pPr>
        <w:shd w:val="clear" w:color="auto" w:fill="FFFFFF"/>
        <w:spacing w:line="360" w:lineRule="auto"/>
        <w:rPr>
          <w:rFonts w:ascii="Bookman Old Style" w:eastAsia="Times New Roman" w:hAnsi="Bookman Old Style" w:cs="Times New Roman"/>
          <w:color w:val="000000"/>
          <w:sz w:val="28"/>
          <w:szCs w:val="28"/>
        </w:rPr>
      </w:pPr>
    </w:p>
    <w:p w14:paraId="1286F3F8" w14:textId="6BBF3593" w:rsidR="0093366E" w:rsidRPr="00062DC4" w:rsidRDefault="00244C9C" w:rsidP="00062DC4">
      <w:pPr>
        <w:shd w:val="clear" w:color="auto" w:fill="FFFFFF"/>
        <w:spacing w:line="360" w:lineRule="auto"/>
      </w:pPr>
      <w:r>
        <w:rPr>
          <w:rFonts w:ascii="Bookman Old Style" w:eastAsia="Times New Roman" w:hAnsi="Bookman Old Style" w:cs="Times New Roman"/>
          <w:color w:val="000000"/>
          <w:sz w:val="28"/>
          <w:szCs w:val="28"/>
        </w:rPr>
        <w:t>/κβπ</w:t>
      </w:r>
    </w:p>
    <w:sectPr w:rsidR="0093366E" w:rsidRPr="00062DC4" w:rsidSect="004A51D9">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D52CA" w14:textId="77777777" w:rsidR="00B36458" w:rsidRDefault="00B36458" w:rsidP="004A51D9">
      <w:pPr>
        <w:spacing w:after="0" w:line="240" w:lineRule="auto"/>
      </w:pPr>
      <w:r>
        <w:separator/>
      </w:r>
    </w:p>
  </w:endnote>
  <w:endnote w:type="continuationSeparator" w:id="0">
    <w:p w14:paraId="7C50559C" w14:textId="77777777" w:rsidR="00B36458" w:rsidRDefault="00B36458" w:rsidP="004A5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10FD2" w14:textId="77777777" w:rsidR="00B36458" w:rsidRDefault="00B36458" w:rsidP="004A51D9">
      <w:pPr>
        <w:spacing w:after="0" w:line="240" w:lineRule="auto"/>
      </w:pPr>
      <w:r>
        <w:separator/>
      </w:r>
    </w:p>
  </w:footnote>
  <w:footnote w:type="continuationSeparator" w:id="0">
    <w:p w14:paraId="44F9484D" w14:textId="77777777" w:rsidR="00B36458" w:rsidRDefault="00B36458" w:rsidP="004A5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421798"/>
      <w:docPartObj>
        <w:docPartGallery w:val="Page Numbers (Top of Page)"/>
        <w:docPartUnique/>
      </w:docPartObj>
    </w:sdtPr>
    <w:sdtEndPr>
      <w:rPr>
        <w:noProof/>
      </w:rPr>
    </w:sdtEndPr>
    <w:sdtContent>
      <w:p w14:paraId="03BDAE70" w14:textId="1CA03238" w:rsidR="004A51D9" w:rsidRDefault="004A51D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AF51E42" w14:textId="77777777" w:rsidR="004A51D9" w:rsidRDefault="004A51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C44EB"/>
    <w:multiLevelType w:val="hybridMultilevel"/>
    <w:tmpl w:val="542C94B8"/>
    <w:lvl w:ilvl="0" w:tplc="9FE0C8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9599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6A8"/>
    <w:rsid w:val="000062F3"/>
    <w:rsid w:val="00030AE1"/>
    <w:rsid w:val="00031CD0"/>
    <w:rsid w:val="00032BFF"/>
    <w:rsid w:val="00036C40"/>
    <w:rsid w:val="00042A42"/>
    <w:rsid w:val="00053204"/>
    <w:rsid w:val="000541A2"/>
    <w:rsid w:val="00057394"/>
    <w:rsid w:val="0006200E"/>
    <w:rsid w:val="00062DC4"/>
    <w:rsid w:val="00083BF3"/>
    <w:rsid w:val="000960AA"/>
    <w:rsid w:val="000A200B"/>
    <w:rsid w:val="000B0566"/>
    <w:rsid w:val="000C0214"/>
    <w:rsid w:val="000D31DB"/>
    <w:rsid w:val="000D5CDA"/>
    <w:rsid w:val="000D7EF9"/>
    <w:rsid w:val="000E5100"/>
    <w:rsid w:val="001004D2"/>
    <w:rsid w:val="001053D0"/>
    <w:rsid w:val="00116CDA"/>
    <w:rsid w:val="00130415"/>
    <w:rsid w:val="001647B2"/>
    <w:rsid w:val="00171999"/>
    <w:rsid w:val="00181F5A"/>
    <w:rsid w:val="00184084"/>
    <w:rsid w:val="001B0631"/>
    <w:rsid w:val="001C5F80"/>
    <w:rsid w:val="001D0A75"/>
    <w:rsid w:val="001D0B28"/>
    <w:rsid w:val="001D3EEC"/>
    <w:rsid w:val="001D5EB0"/>
    <w:rsid w:val="001D7654"/>
    <w:rsid w:val="001F0173"/>
    <w:rsid w:val="001F61EA"/>
    <w:rsid w:val="0022414C"/>
    <w:rsid w:val="00225B75"/>
    <w:rsid w:val="002313F2"/>
    <w:rsid w:val="002322B3"/>
    <w:rsid w:val="00242C9A"/>
    <w:rsid w:val="00244C9C"/>
    <w:rsid w:val="0026742A"/>
    <w:rsid w:val="00272FBE"/>
    <w:rsid w:val="0027315C"/>
    <w:rsid w:val="002801F7"/>
    <w:rsid w:val="00280C8B"/>
    <w:rsid w:val="002846B6"/>
    <w:rsid w:val="00292CC1"/>
    <w:rsid w:val="00293DC4"/>
    <w:rsid w:val="00295760"/>
    <w:rsid w:val="002A0A0C"/>
    <w:rsid w:val="002B51D3"/>
    <w:rsid w:val="002C408B"/>
    <w:rsid w:val="002C6B00"/>
    <w:rsid w:val="002D7093"/>
    <w:rsid w:val="00302188"/>
    <w:rsid w:val="00314BD7"/>
    <w:rsid w:val="00323903"/>
    <w:rsid w:val="003256FA"/>
    <w:rsid w:val="0033232E"/>
    <w:rsid w:val="00352DD1"/>
    <w:rsid w:val="00360AC5"/>
    <w:rsid w:val="00371A2D"/>
    <w:rsid w:val="003803CB"/>
    <w:rsid w:val="003C57D0"/>
    <w:rsid w:val="003E0188"/>
    <w:rsid w:val="003E0951"/>
    <w:rsid w:val="003E4099"/>
    <w:rsid w:val="003E678B"/>
    <w:rsid w:val="00400B62"/>
    <w:rsid w:val="00402105"/>
    <w:rsid w:val="00420C56"/>
    <w:rsid w:val="00434261"/>
    <w:rsid w:val="00440A16"/>
    <w:rsid w:val="00445C14"/>
    <w:rsid w:val="0044707B"/>
    <w:rsid w:val="00451923"/>
    <w:rsid w:val="0047349D"/>
    <w:rsid w:val="0047565E"/>
    <w:rsid w:val="00480DBA"/>
    <w:rsid w:val="00482CDB"/>
    <w:rsid w:val="00497522"/>
    <w:rsid w:val="004A51D9"/>
    <w:rsid w:val="004B51D2"/>
    <w:rsid w:val="004D0B15"/>
    <w:rsid w:val="004D3201"/>
    <w:rsid w:val="004D573C"/>
    <w:rsid w:val="004E2620"/>
    <w:rsid w:val="004E2D0E"/>
    <w:rsid w:val="004F0FB1"/>
    <w:rsid w:val="004F1C86"/>
    <w:rsid w:val="004F2D92"/>
    <w:rsid w:val="005017C1"/>
    <w:rsid w:val="00542E53"/>
    <w:rsid w:val="005508BB"/>
    <w:rsid w:val="00575D04"/>
    <w:rsid w:val="005841D9"/>
    <w:rsid w:val="00586A8E"/>
    <w:rsid w:val="00594EF1"/>
    <w:rsid w:val="005A387A"/>
    <w:rsid w:val="005D02EB"/>
    <w:rsid w:val="005D3874"/>
    <w:rsid w:val="005E6985"/>
    <w:rsid w:val="006032BB"/>
    <w:rsid w:val="006058C9"/>
    <w:rsid w:val="00655328"/>
    <w:rsid w:val="006638D2"/>
    <w:rsid w:val="006654EC"/>
    <w:rsid w:val="00695AD6"/>
    <w:rsid w:val="006A42B4"/>
    <w:rsid w:val="006D2152"/>
    <w:rsid w:val="006D3687"/>
    <w:rsid w:val="006D6C57"/>
    <w:rsid w:val="006E47FC"/>
    <w:rsid w:val="006E4EF1"/>
    <w:rsid w:val="006F1A13"/>
    <w:rsid w:val="007032DC"/>
    <w:rsid w:val="0070557A"/>
    <w:rsid w:val="007102EE"/>
    <w:rsid w:val="007119FD"/>
    <w:rsid w:val="00714FD1"/>
    <w:rsid w:val="00725120"/>
    <w:rsid w:val="00730236"/>
    <w:rsid w:val="007309C5"/>
    <w:rsid w:val="00733A9E"/>
    <w:rsid w:val="00756460"/>
    <w:rsid w:val="00765477"/>
    <w:rsid w:val="00774716"/>
    <w:rsid w:val="00775796"/>
    <w:rsid w:val="0078465F"/>
    <w:rsid w:val="00785A5D"/>
    <w:rsid w:val="0078683B"/>
    <w:rsid w:val="00790517"/>
    <w:rsid w:val="00792E9F"/>
    <w:rsid w:val="007A1658"/>
    <w:rsid w:val="007B07BA"/>
    <w:rsid w:val="007B46AB"/>
    <w:rsid w:val="007C4340"/>
    <w:rsid w:val="007C76B4"/>
    <w:rsid w:val="007D0A75"/>
    <w:rsid w:val="007D20BE"/>
    <w:rsid w:val="007E03C5"/>
    <w:rsid w:val="007E2926"/>
    <w:rsid w:val="007F1844"/>
    <w:rsid w:val="00810664"/>
    <w:rsid w:val="0082028C"/>
    <w:rsid w:val="00824BB9"/>
    <w:rsid w:val="0083564D"/>
    <w:rsid w:val="0084094F"/>
    <w:rsid w:val="0084180A"/>
    <w:rsid w:val="008565E9"/>
    <w:rsid w:val="008738F7"/>
    <w:rsid w:val="00897496"/>
    <w:rsid w:val="008A2A10"/>
    <w:rsid w:val="008B0994"/>
    <w:rsid w:val="008B443F"/>
    <w:rsid w:val="008C1740"/>
    <w:rsid w:val="008D77E7"/>
    <w:rsid w:val="008D7874"/>
    <w:rsid w:val="008E4ECF"/>
    <w:rsid w:val="0090701A"/>
    <w:rsid w:val="00910B8E"/>
    <w:rsid w:val="00911DF4"/>
    <w:rsid w:val="0091238A"/>
    <w:rsid w:val="00924DDA"/>
    <w:rsid w:val="00930A1E"/>
    <w:rsid w:val="00932C66"/>
    <w:rsid w:val="0093366E"/>
    <w:rsid w:val="00933809"/>
    <w:rsid w:val="00955B51"/>
    <w:rsid w:val="0096022B"/>
    <w:rsid w:val="0096033C"/>
    <w:rsid w:val="0096038A"/>
    <w:rsid w:val="00961480"/>
    <w:rsid w:val="00981628"/>
    <w:rsid w:val="00995E28"/>
    <w:rsid w:val="009A1511"/>
    <w:rsid w:val="009A52FB"/>
    <w:rsid w:val="009A54A1"/>
    <w:rsid w:val="009C06A8"/>
    <w:rsid w:val="009C4E6C"/>
    <w:rsid w:val="009D39D3"/>
    <w:rsid w:val="009D6197"/>
    <w:rsid w:val="009E41E0"/>
    <w:rsid w:val="009E58D1"/>
    <w:rsid w:val="00A03E0B"/>
    <w:rsid w:val="00A124FB"/>
    <w:rsid w:val="00A13B7B"/>
    <w:rsid w:val="00A61B57"/>
    <w:rsid w:val="00A64A2C"/>
    <w:rsid w:val="00A74462"/>
    <w:rsid w:val="00A77A20"/>
    <w:rsid w:val="00A82484"/>
    <w:rsid w:val="00A85650"/>
    <w:rsid w:val="00A92753"/>
    <w:rsid w:val="00A93557"/>
    <w:rsid w:val="00A95C44"/>
    <w:rsid w:val="00B06A42"/>
    <w:rsid w:val="00B11B5B"/>
    <w:rsid w:val="00B24261"/>
    <w:rsid w:val="00B24CBC"/>
    <w:rsid w:val="00B32158"/>
    <w:rsid w:val="00B35CCB"/>
    <w:rsid w:val="00B36458"/>
    <w:rsid w:val="00B450DD"/>
    <w:rsid w:val="00B52679"/>
    <w:rsid w:val="00B539F3"/>
    <w:rsid w:val="00B57C4F"/>
    <w:rsid w:val="00B7394E"/>
    <w:rsid w:val="00B8231D"/>
    <w:rsid w:val="00B858BA"/>
    <w:rsid w:val="00BA19B1"/>
    <w:rsid w:val="00BA63EA"/>
    <w:rsid w:val="00BA7919"/>
    <w:rsid w:val="00BB5457"/>
    <w:rsid w:val="00BB622F"/>
    <w:rsid w:val="00BB7352"/>
    <w:rsid w:val="00BE6DC9"/>
    <w:rsid w:val="00BF4960"/>
    <w:rsid w:val="00C12AD0"/>
    <w:rsid w:val="00C21379"/>
    <w:rsid w:val="00C34381"/>
    <w:rsid w:val="00C866E2"/>
    <w:rsid w:val="00C90F3B"/>
    <w:rsid w:val="00C92940"/>
    <w:rsid w:val="00CC0429"/>
    <w:rsid w:val="00CC294E"/>
    <w:rsid w:val="00CC5D87"/>
    <w:rsid w:val="00CF1B25"/>
    <w:rsid w:val="00CF1E59"/>
    <w:rsid w:val="00D15CB4"/>
    <w:rsid w:val="00D21C08"/>
    <w:rsid w:val="00D275DF"/>
    <w:rsid w:val="00D27F26"/>
    <w:rsid w:val="00D86390"/>
    <w:rsid w:val="00DB38F3"/>
    <w:rsid w:val="00DB4580"/>
    <w:rsid w:val="00DD1163"/>
    <w:rsid w:val="00DD5704"/>
    <w:rsid w:val="00DE2B6B"/>
    <w:rsid w:val="00DE3167"/>
    <w:rsid w:val="00E12C39"/>
    <w:rsid w:val="00E44094"/>
    <w:rsid w:val="00E45527"/>
    <w:rsid w:val="00E51F27"/>
    <w:rsid w:val="00E54885"/>
    <w:rsid w:val="00E567BB"/>
    <w:rsid w:val="00E7109E"/>
    <w:rsid w:val="00E91E93"/>
    <w:rsid w:val="00E94043"/>
    <w:rsid w:val="00EE066A"/>
    <w:rsid w:val="00EE3270"/>
    <w:rsid w:val="00EE5762"/>
    <w:rsid w:val="00EF2092"/>
    <w:rsid w:val="00EF65C0"/>
    <w:rsid w:val="00EF7B91"/>
    <w:rsid w:val="00F100EB"/>
    <w:rsid w:val="00F13357"/>
    <w:rsid w:val="00F1461E"/>
    <w:rsid w:val="00F229D4"/>
    <w:rsid w:val="00F23662"/>
    <w:rsid w:val="00F36F8E"/>
    <w:rsid w:val="00F77ADC"/>
    <w:rsid w:val="00F81068"/>
    <w:rsid w:val="00F85E26"/>
    <w:rsid w:val="00F86DEA"/>
    <w:rsid w:val="00FA05CB"/>
    <w:rsid w:val="00FA20A3"/>
    <w:rsid w:val="00FA7772"/>
    <w:rsid w:val="00FC5750"/>
    <w:rsid w:val="00FD2D01"/>
    <w:rsid w:val="00FF1418"/>
    <w:rsid w:val="00FF63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F74D8"/>
  <w15:chartTrackingRefBased/>
  <w15:docId w15:val="{B91AF06A-F7A3-4DD7-BD2B-27F0E3C9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F3B"/>
    <w:pPr>
      <w:ind w:left="720"/>
      <w:contextualSpacing/>
    </w:pPr>
  </w:style>
  <w:style w:type="paragraph" w:styleId="Header">
    <w:name w:val="header"/>
    <w:basedOn w:val="Normal"/>
    <w:link w:val="HeaderChar"/>
    <w:uiPriority w:val="99"/>
    <w:unhideWhenUsed/>
    <w:rsid w:val="004A5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1D9"/>
  </w:style>
  <w:style w:type="paragraph" w:styleId="Footer">
    <w:name w:val="footer"/>
    <w:basedOn w:val="Normal"/>
    <w:link w:val="FooterChar"/>
    <w:uiPriority w:val="99"/>
    <w:unhideWhenUsed/>
    <w:rsid w:val="004A5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1D9"/>
  </w:style>
  <w:style w:type="paragraph" w:customStyle="1" w:styleId="1">
    <w:name w:val="Στυλ1"/>
    <w:basedOn w:val="Normal"/>
    <w:rsid w:val="0096038A"/>
    <w:pPr>
      <w:spacing w:after="0" w:line="360" w:lineRule="auto"/>
      <w:jc w:val="both"/>
    </w:pPr>
    <w:rPr>
      <w:rFonts w:ascii="Arial" w:eastAsia="Times New Roman" w:hAnsi="Arial" w:cs="Times New Roman"/>
      <w:kern w:val="0"/>
      <w:sz w:val="24"/>
      <w:szCs w:val="20"/>
      <w:lang w:val="el-GR"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714795">
      <w:bodyDiv w:val="1"/>
      <w:marLeft w:val="0"/>
      <w:marRight w:val="0"/>
      <w:marTop w:val="0"/>
      <w:marBottom w:val="0"/>
      <w:divBdr>
        <w:top w:val="none" w:sz="0" w:space="0" w:color="auto"/>
        <w:left w:val="none" w:sz="0" w:space="0" w:color="auto"/>
        <w:bottom w:val="none" w:sz="0" w:space="0" w:color="auto"/>
        <w:right w:val="none" w:sz="0" w:space="0" w:color="auto"/>
      </w:divBdr>
    </w:div>
    <w:div w:id="207049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16</Pages>
  <Words>2534</Words>
  <Characters>14449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Efrem</dc:creator>
  <cp:keywords/>
  <dc:description/>
  <cp:lastModifiedBy>Vasiliou  Kyproula</cp:lastModifiedBy>
  <cp:revision>38</cp:revision>
  <cp:lastPrinted>2023-09-19T10:07:00Z</cp:lastPrinted>
  <dcterms:created xsi:type="dcterms:W3CDTF">2023-09-13T08:20:00Z</dcterms:created>
  <dcterms:modified xsi:type="dcterms:W3CDTF">2023-09-22T05:33:00Z</dcterms:modified>
</cp:coreProperties>
</file>